
<file path=[Content_Types].xml><?xml version="1.0" encoding="utf-8"?>
<Types xmlns="http://schemas.openxmlformats.org/package/2006/content-types">
  <Default ContentType="application/vnd.openxmlformats-package.relationships+xml" Extension="rels"/>
  <Default ContentType="application/xml" Extension="xml"/>
  <Override ContentType="application/vnd.openxmlformats-officedocument.extended-properties+xml" PartName="/docProps/app.xml"/>
  <Override ContentType="application/vnd.openxmlformats-package.core-properties+xml" PartName="/docProps/core.xml"/>
  <Override ContentType="application/vnd.openxmlformats-officedocument.wordprocessingml.document.main+xml" PartName="/word/document.xml"/>
  <Override ContentType="application/vnd.openxmlformats-officedocument.wordprocessingml.settings+xml" PartName="/word/settings.xml"/>
</Types>
</file>

<file path=_rels/.rels><?xml version="1.0" encoding="UTF-8" standalone="yes"?><Relationships xmlns="http://schemas.openxmlformats.org/package/2006/relationships"><Relationship Id="rId1" Target="word/document.xml" Type="http://schemas.openxmlformats.org/officeDocument/2006/relationships/officeDocument"/><Relationship Id="rId2" Target="docProps/app.xml" Type="http://schemas.openxmlformats.org/officeDocument/2006/relationships/extended-properties"/><Relationship Id="rId3" Target="docProps/core.xml" Type="http://schemas.openxmlformats.org/package/2006/relationships/metadata/core-properties"/></Relationships>
</file>

<file path=word/document.xml><?xml version="1.0" encoding="utf-8"?>
<w:document xmlns:w="http://schemas.openxmlformats.org/wordprocessingml/2006/main">
  <w:body>
    <w:p>
      <w:pPr>
        <w:spacing w:after="0" w:before="0"/>
        <w:jc w:val="center"/>
      </w:pPr>
      <w:r>
        <w:rPr>
          <w:rFonts w:ascii="Times New Roman" w:hAnsi="Times New Roman" w:cs="Times New Roman" w:eastAsia="Times New Roman"/>
          <w:sz w:val="24"/>
          <w:b w:val="on"/>
          <w:i w:val="off"/>
          <w:strike w:val="off"/>
        </w:rPr>
        <w:t>П Л А Н – Г Р А Ф И К</w:t>
      </w:r>
      <w:r>
        <w:cr/>
      </w:r>
    </w:p>
    <w:p>
      <w:pPr>
        <w:spacing w:after="0" w:before="0"/>
        <w:jc w:val="center"/>
      </w:pPr>
      <w:r>
        <w:rPr>
          <w:rFonts w:ascii="Times New Roman" w:hAnsi="Times New Roman" w:cs="Times New Roman" w:eastAsia="Times New Roman"/>
          <w:sz w:val="24"/>
          <w:b w:val="on"/>
          <w:i w:val="off"/>
          <w:strike w:val="off"/>
        </w:rPr>
        <w:t>закупок товаров, работ, услуг на 2026 финансовый год и на плановый период 2027 и 2028 годов</w:t>
        <w:cr/>
      </w:r>
    </w:p>
    <w:p>
      <w:pPr>
        <w:spacing w:after="0" w:before="0"/>
        <w:jc w:val="both"/>
      </w:pPr>
      <w:r>
        <w:rPr>
          <w:rFonts w:ascii="Times New Roman" w:hAnsi="Times New Roman" w:cs="Times New Roman" w:eastAsia="Times New Roman"/>
          <w:sz w:val="24"/>
          <w:b w:val="off"/>
          <w:i w:val="off"/>
          <w:strike w:val="off"/>
        </w:rPr>
        <w:t>1.</w:t>
        <w:tab/>
      </w:r>
      <w:r>
        <w:rPr>
          <w:rFonts w:ascii="Times New Roman" w:hAnsi="Times New Roman" w:cs="Times New Roman" w:eastAsia="Times New Roman"/>
          <w:sz w:val="24"/>
          <w:b w:val="off"/>
          <w:i w:val="off"/>
          <w:strike w:val="off"/>
        </w:rPr>
        <w:t>Информация о заказчике:</w:t>
      </w:r>
    </w:p>
    <w:tbl>
      <w:tblPr>
        <w:tblW w:w="0" w:type="auto"/>
        <w:tblBorders>
          <w:top w:val="single"/>
          <w:left w:val="single"/>
          <w:bottom w:val="single"/>
          <w:right w:val="single"/>
          <w:insideH w:val="single"/>
          <w:insideV w:val="single"/>
        </w:tblBorders>
        <w:tblCellMar>
          <w:top w:type="dxa" w:w="57"/>
          <w:left w:type="dxa" w:w="63"/>
          <w:bottom w:type="dxa" w:w="57"/>
          <w:right w:type="dxa" w:w="63"/>
        </w:tblCellMar>
      </w:tblPr>
      <w:tblPr>
        <w:tblBorders>
          <w:top w:val="single"/>
          <w:top w:val="none"/>
          <w:left w:val="single"/>
          <w:left w:val="none"/>
          <w:bottom w:val="single"/>
          <w:bottom w:val="none"/>
          <w:right w:val="single"/>
          <w:right w:val="none"/>
          <w:insideH w:val="single"/>
          <w:insideH w:val="none"/>
          <w:insideV w:val="single"/>
          <w:insideV w:val="none"/>
        </w:tblBorders>
      </w:tblPr>
      <w:tr>
        <w:tc>
          <w:tcPr>
            <w:tcW w:type="pct" w:w="2275"/>
          </w:tcPr>
          <w:p/>
        </w:tc>
        <w:tc>
          <w:tcPr>
            <w:tcW w:type="pct" w:w="1365"/>
          </w:tcPr>
          <w:p/>
        </w:tc>
        <w:tc>
          <w:tcPr>
            <w:tcW w:type="pct" w:w="850"/>
          </w:tcPr>
          <w:p/>
        </w:tc>
        <w:tc>
          <w:tcPr>
            <w:tcW w:type="pct" w:w="510"/>
            <w:tcBorders>
              <w:top w:val="single"/>
              <w:left w:val="single"/>
              <w:bottom w:val="single"/>
              <w:right w:val="single"/>
            </w:tcBorders>
            <w:vAlign w:val="center"/>
          </w:tcPr>
          <w:p>
            <w:pPr>
              <w:spacing w:after="0"/>
              <w:jc w:val="center"/>
            </w:pPr>
            <w:r>
              <w:rPr>
                <w:rFonts w:ascii="Times New Roman" w:hAnsi="Times New Roman" w:cs="Times New Roman" w:eastAsia="Times New Roman"/>
                <w:sz w:val="24"/>
                <w:b w:val="off"/>
                <w:i w:val="off"/>
                <w:strike w:val="off"/>
              </w:rPr>
              <w:t>Коды</w:t>
            </w:r>
          </w:p>
        </w:tc>
      </w:tr>
      <w:tr>
        <w:tc>
          <w:tcPr>
            <w:tcW w:type="pct" w:w="2275"/>
            <w:vMerge w:val="restart"/>
          </w:tcPr>
          <w:p>
            <w:pPr>
              <w:spacing w:after="0"/>
              <w:jc w:val="both"/>
            </w:pPr>
            <w:r>
              <w:rPr>
                <w:rFonts w:ascii="Times New Roman" w:hAnsi="Times New Roman" w:cs="Times New Roman" w:eastAsia="Times New Roman"/>
                <w:sz w:val="24"/>
                <w:b w:val="off"/>
                <w:i w:val="off"/>
                <w:strike w:val="off"/>
              </w:rPr>
              <w:t>Полное наименование</w:t>
            </w:r>
          </w:p>
        </w:tc>
        <w:tc>
          <w:tcPr>
            <w:tcW w:type="pct" w:w="1365"/>
            <w:vMerge w:val="restart"/>
          </w:tcPr>
          <w:p>
            <w:pPr>
              <w:spacing w:after="0"/>
              <w:jc w:val="left"/>
            </w:pPr>
            <w:r>
              <w:rPr>
                <w:rFonts w:ascii="Times New Roman" w:hAnsi="Times New Roman" w:cs="Times New Roman" w:eastAsia="Times New Roman"/>
                <w:sz w:val="24"/>
                <w:b w:val="off"/>
                <w:i w:val="off"/>
                <w:strike w:val="off"/>
              </w:rPr>
              <w:t>Территориальная избирательная комиссия Кизеловского муниципального округа</w:t>
            </w:r>
          </w:p>
        </w:tc>
        <w:tc>
          <w:tcPr>
            <w:tcW w:type="pct" w:w="850"/>
            <w:vAlign w:val="center"/>
          </w:tcPr>
          <w:p>
            <w:pPr>
              <w:spacing w:after="0"/>
              <w:jc w:val="right"/>
            </w:pPr>
            <w:r>
              <w:rPr>
                <w:rFonts w:ascii="Times New Roman" w:hAnsi="Times New Roman" w:cs="Times New Roman" w:eastAsia="Times New Roman"/>
                <w:sz w:val="24"/>
                <w:b w:val="off"/>
                <w:i w:val="off"/>
                <w:strike w:val="off"/>
              </w:rPr>
              <w:t>ИНН</w:t>
            </w:r>
          </w:p>
        </w:tc>
        <w:tc>
          <w:tcPr>
            <w:tcW w:type="pct" w:w="510"/>
            <w:tcBorders>
              <w:top w:val="single"/>
              <w:left w:val="single"/>
              <w:bottom w:val="single"/>
              <w:right w:val="single"/>
            </w:tcBorders>
            <w:vAlign w:val="center"/>
          </w:tcPr>
          <w:p>
            <w:pPr>
              <w:spacing w:after="0"/>
              <w:jc w:val="center"/>
            </w:pPr>
            <w:r>
              <w:rPr>
                <w:rFonts w:ascii="Times New Roman" w:hAnsi="Times New Roman" w:cs="Times New Roman" w:eastAsia="Times New Roman"/>
                <w:sz w:val="24"/>
                <w:b w:val="off"/>
                <w:i w:val="off"/>
                <w:strike w:val="off"/>
              </w:rPr>
              <w:t>5915005170</w:t>
            </w:r>
          </w:p>
        </w:tc>
      </w:tr>
      <w:tr>
        <w:tc>
          <w:tcPr>
            <w:tcW w:type="pct" w:w="2275"/>
            <w:vMerge w:val="continue"/>
          </w:tcPr>
          <w:p/>
        </w:tc>
        <w:tc>
          <w:tcPr>
            <w:tcW w:type="pct" w:w="1365"/>
            <w:vMerge w:val="continue"/>
            <w:tcBorders>
              <w:top w:val="none"/>
              <w:left w:val="none"/>
              <w:bottom w:val="single"/>
              <w:right w:val="none"/>
            </w:tcBorders>
          </w:tcPr>
          <w:p/>
        </w:tc>
        <w:tc>
          <w:tcPr>
            <w:tcW w:type="pct" w:w="850"/>
            <w:vAlign w:val="center"/>
          </w:tcPr>
          <w:p>
            <w:pPr>
              <w:spacing w:after="0"/>
              <w:jc w:val="right"/>
            </w:pPr>
            <w:r>
              <w:rPr>
                <w:rFonts w:ascii="Times New Roman" w:hAnsi="Times New Roman" w:cs="Times New Roman" w:eastAsia="Times New Roman"/>
                <w:sz w:val="24"/>
                <w:b w:val="off"/>
                <w:i w:val="off"/>
                <w:strike w:val="off"/>
              </w:rPr>
              <w:t>КПП</w:t>
            </w:r>
          </w:p>
        </w:tc>
        <w:tc>
          <w:tcPr>
            <w:tcW w:type="pct" w:w="510"/>
            <w:tcBorders>
              <w:top w:val="single"/>
              <w:left w:val="single"/>
              <w:bottom w:val="single"/>
              <w:right w:val="single"/>
            </w:tcBorders>
            <w:vAlign w:val="center"/>
          </w:tcPr>
          <w:p>
            <w:pPr>
              <w:spacing w:after="0"/>
              <w:jc w:val="center"/>
            </w:pPr>
            <w:r>
              <w:rPr>
                <w:rFonts w:ascii="Times New Roman" w:hAnsi="Times New Roman" w:cs="Times New Roman" w:eastAsia="Times New Roman"/>
                <w:sz w:val="24"/>
                <w:b w:val="off"/>
                <w:i w:val="off"/>
                <w:strike w:val="off"/>
              </w:rPr>
              <w:t>591501001</w:t>
            </w:r>
          </w:p>
        </w:tc>
      </w:tr>
      <w:tr>
        <w:tc>
          <w:tcPr>
            <w:tcW w:type="pct" w:w="2275"/>
          </w:tcPr>
          <w:p>
            <w:pPr>
              <w:spacing w:after="0"/>
              <w:jc w:val="both"/>
            </w:pPr>
            <w:r>
              <w:rPr>
                <w:rFonts w:ascii="Times New Roman" w:hAnsi="Times New Roman" w:cs="Times New Roman" w:eastAsia="Times New Roman"/>
                <w:sz w:val="24"/>
                <w:b w:val="off"/>
                <w:i w:val="off"/>
                <w:strike w:val="off"/>
              </w:rPr>
              <w:t>Организационно-правовая форма</w:t>
            </w:r>
          </w:p>
        </w:tc>
        <w:tc>
          <w:tcPr>
            <w:tcW w:type="pct" w:w="1365"/>
            <w:tcBorders>
              <w:top w:val="none"/>
              <w:left w:val="none"/>
              <w:bottom w:val="single"/>
              <w:right w:val="none"/>
            </w:tcBorders>
          </w:tcPr>
          <w:p>
            <w:pPr>
              <w:spacing w:after="0"/>
              <w:jc w:val="left"/>
            </w:pPr>
            <w:r>
              <w:rPr>
                <w:rFonts w:ascii="Times New Roman" w:hAnsi="Times New Roman" w:cs="Times New Roman" w:eastAsia="Times New Roman"/>
                <w:sz w:val="24"/>
                <w:b w:val="off"/>
                <w:i w:val="off"/>
                <w:strike w:val="off"/>
              </w:rPr>
              <w:t>Государственные казенные учреждения субъектов Российской Федерации</w:t>
            </w:r>
          </w:p>
        </w:tc>
        <w:tc>
          <w:tcPr>
            <w:tcW w:type="pct" w:w="850"/>
            <w:vAlign w:val="center"/>
          </w:tcPr>
          <w:p>
            <w:pPr>
              <w:spacing w:after="0"/>
              <w:jc w:val="right"/>
            </w:pPr>
            <w:r>
              <w:rPr>
                <w:rFonts w:ascii="Times New Roman" w:hAnsi="Times New Roman" w:cs="Times New Roman" w:eastAsia="Times New Roman"/>
                <w:sz w:val="24"/>
                <w:b w:val="off"/>
                <w:i w:val="off"/>
                <w:strike w:val="off"/>
              </w:rPr>
              <w:t>по ОКОПФ</w:t>
            </w:r>
          </w:p>
        </w:tc>
        <w:tc>
          <w:tcPr>
            <w:tcW w:type="pct" w:w="510"/>
            <w:tcBorders>
              <w:top w:val="single"/>
              <w:left w:val="single"/>
              <w:bottom w:val="single"/>
              <w:right w:val="single"/>
            </w:tcBorders>
            <w:vAlign w:val="center"/>
          </w:tcPr>
          <w:p>
            <w:pPr>
              <w:spacing w:after="0"/>
              <w:jc w:val="center"/>
            </w:pPr>
            <w:r>
              <w:rPr>
                <w:rFonts w:ascii="Times New Roman" w:hAnsi="Times New Roman" w:cs="Times New Roman" w:eastAsia="Times New Roman"/>
                <w:sz w:val="24"/>
                <w:b w:val="off"/>
                <w:i w:val="off"/>
                <w:strike w:val="off"/>
              </w:rPr>
              <w:t>75204</w:t>
            </w:r>
          </w:p>
        </w:tc>
      </w:tr>
      <w:tr>
        <w:tc>
          <w:tcPr>
            <w:tcW w:type="pct" w:w="2275"/>
          </w:tcPr>
          <w:p>
            <w:pPr>
              <w:spacing w:after="0"/>
              <w:jc w:val="both"/>
            </w:pPr>
            <w:r>
              <w:rPr>
                <w:rFonts w:ascii="Times New Roman" w:hAnsi="Times New Roman" w:cs="Times New Roman" w:eastAsia="Times New Roman"/>
                <w:sz w:val="24"/>
                <w:b w:val="off"/>
                <w:i w:val="off"/>
                <w:strike w:val="off"/>
              </w:rPr>
              <w:t>Форма собственности</w:t>
            </w:r>
          </w:p>
        </w:tc>
        <w:tc>
          <w:tcPr>
            <w:tcW w:type="pct" w:w="1365"/>
            <w:tcBorders>
              <w:top w:val="none"/>
              <w:left w:val="none"/>
              <w:bottom w:val="single"/>
              <w:right w:val="none"/>
            </w:tcBorders>
          </w:tcPr>
          <w:p>
            <w:pPr>
              <w:spacing w:after="0"/>
              <w:jc w:val="left"/>
            </w:pPr>
            <w:r>
              <w:rPr>
                <w:rFonts w:ascii="Times New Roman" w:hAnsi="Times New Roman" w:cs="Times New Roman" w:eastAsia="Times New Roman"/>
                <w:sz w:val="24"/>
                <w:b w:val="off"/>
                <w:i w:val="off"/>
                <w:strike w:val="off"/>
              </w:rPr>
              <w:t>Собственность субъектов Российской Федерации</w:t>
            </w:r>
          </w:p>
        </w:tc>
        <w:tc>
          <w:tcPr>
            <w:tcW w:type="pct" w:w="850"/>
            <w:vAlign w:val="center"/>
          </w:tcPr>
          <w:p>
            <w:pPr>
              <w:spacing w:after="0"/>
              <w:jc w:val="right"/>
            </w:pPr>
            <w:r>
              <w:rPr>
                <w:rFonts w:ascii="Times New Roman" w:hAnsi="Times New Roman" w:cs="Times New Roman" w:eastAsia="Times New Roman"/>
                <w:sz w:val="24"/>
                <w:b w:val="off"/>
                <w:i w:val="off"/>
                <w:strike w:val="off"/>
              </w:rPr>
              <w:t>по ОКФС</w:t>
            </w:r>
          </w:p>
        </w:tc>
        <w:tc>
          <w:tcPr>
            <w:tcW w:type="pct" w:w="510"/>
            <w:tcBorders>
              <w:top w:val="single"/>
              <w:left w:val="single"/>
              <w:bottom w:val="single"/>
              <w:right w:val="single"/>
            </w:tcBorders>
            <w:vAlign w:val="center"/>
          </w:tcPr>
          <w:p>
            <w:pPr>
              <w:spacing w:after="0"/>
              <w:jc w:val="center"/>
            </w:pPr>
            <w:r>
              <w:rPr>
                <w:rFonts w:ascii="Times New Roman" w:hAnsi="Times New Roman" w:cs="Times New Roman" w:eastAsia="Times New Roman"/>
                <w:sz w:val="24"/>
                <w:b w:val="off"/>
                <w:i w:val="off"/>
                <w:strike w:val="off"/>
              </w:rPr>
              <w:t>13</w:t>
            </w:r>
          </w:p>
        </w:tc>
      </w:tr>
      <w:tr>
        <w:tc>
          <w:tcPr>
            <w:tcW w:type="pct" w:w="2275"/>
          </w:tcPr>
          <w:p>
            <w:pPr>
              <w:spacing w:after="0"/>
              <w:jc w:val="both"/>
            </w:pPr>
            <w:r>
              <w:rPr>
                <w:rFonts w:ascii="Times New Roman" w:hAnsi="Times New Roman" w:cs="Times New Roman" w:eastAsia="Times New Roman"/>
                <w:sz w:val="24"/>
                <w:b w:val="off"/>
                <w:i w:val="off"/>
                <w:strike w:val="off"/>
              </w:rPr>
              <w:t>Место нахождения, телефон, адрес электронной почты</w:t>
            </w:r>
          </w:p>
        </w:tc>
        <w:tc>
          <w:tcPr>
            <w:tcW w:type="pct" w:w="1365"/>
            <w:tcBorders>
              <w:top w:val="none"/>
              <w:left w:val="none"/>
              <w:bottom w:val="single"/>
              <w:right w:val="none"/>
            </w:tcBorders>
          </w:tcPr>
          <w:p>
            <w:pPr>
              <w:spacing w:after="0"/>
              <w:jc w:val="left"/>
            </w:pPr>
            <w:r>
              <w:rPr>
                <w:rFonts w:ascii="Times New Roman" w:hAnsi="Times New Roman" w:cs="Times New Roman" w:eastAsia="Times New Roman"/>
                <w:sz w:val="24"/>
                <w:b w:val="off"/>
                <w:i w:val="off"/>
                <w:strike w:val="off"/>
              </w:rPr>
              <w:t>618350, Пермский край, г Кизел, ул Луначарского, 19, офис 413, 83425544559, 59tik14@izbirkom.permkray.ru</w:t>
            </w:r>
          </w:p>
        </w:tc>
        <w:tc>
          <w:tcPr>
            <w:tcW w:type="pct" w:w="850"/>
            <w:vAlign w:val="center"/>
          </w:tcPr>
          <w:p>
            <w:pPr>
              <w:spacing w:after="0"/>
              <w:jc w:val="right"/>
            </w:pPr>
            <w:r>
              <w:rPr>
                <w:rFonts w:ascii="Times New Roman" w:hAnsi="Times New Roman" w:cs="Times New Roman" w:eastAsia="Times New Roman"/>
                <w:sz w:val="24"/>
                <w:b w:val="off"/>
                <w:i w:val="off"/>
                <w:strike w:val="off"/>
              </w:rPr>
              <w:t>по ОКТМО</w:t>
            </w:r>
          </w:p>
        </w:tc>
        <w:tc>
          <w:tcPr>
            <w:tcW w:type="pct" w:w="510"/>
            <w:tcBorders>
              <w:top w:val="single"/>
              <w:left w:val="single"/>
              <w:bottom w:val="single"/>
              <w:right w:val="single"/>
            </w:tcBorders>
            <w:vAlign w:val="center"/>
          </w:tcPr>
          <w:p>
            <w:pPr>
              <w:spacing w:after="0"/>
              <w:jc w:val="center"/>
            </w:pPr>
            <w:r>
              <w:rPr>
                <w:rFonts w:ascii="Times New Roman" w:hAnsi="Times New Roman" w:cs="Times New Roman" w:eastAsia="Times New Roman"/>
                <w:sz w:val="24"/>
                <w:b w:val="off"/>
                <w:i w:val="off"/>
                <w:strike w:val="off"/>
              </w:rPr>
              <w:t>57523000001</w:t>
            </w:r>
          </w:p>
        </w:tc>
      </w:tr>
      <w:tr>
        <w:tc>
          <w:tcPr>
            <w:tcW w:type="pct" w:w="2275"/>
            <w:vMerge w:val="restart"/>
          </w:tcPr>
          <w:p>
            <w:pPr>
              <w:spacing w:after="0"/>
              <w:jc w:val="both"/>
            </w:pPr>
            <w:r>
              <w:rPr>
                <w:rFonts w:ascii="Times New Roman" w:hAnsi="Times New Roman" w:cs="Times New Roman" w:eastAsia="Times New Roman"/>
                <w:sz w:val="24"/>
                <w:b w:val="off"/>
                <w:i w:val="off"/>
                <w:strike w:val="off"/>
              </w:rPr>
              <w:t>Наименование бюджетного, автономного учреждения, государственного, муниципального унитарного предприятия, иного юридического лица, которому переданы полномочия государственного, муниципального заказчика</w:t>
            </w:r>
          </w:p>
        </w:tc>
        <w:tc>
          <w:tcPr>
            <w:tcW w:type="pct" w:w="1365"/>
            <w:vMerge w:val="restart"/>
            <w:tcBorders>
              <w:top w:val="none"/>
              <w:left w:val="none"/>
              <w:bottom w:val="single"/>
              <w:right w:val="none"/>
            </w:tcBorders>
          </w:tcPr>
          <w:p/>
        </w:tc>
        <w:tc>
          <w:tcPr>
            <w:tcW w:type="pct" w:w="850"/>
            <w:vAlign w:val="center"/>
          </w:tcPr>
          <w:p>
            <w:pPr>
              <w:spacing w:after="0"/>
              <w:jc w:val="right"/>
            </w:pPr>
            <w:r>
              <w:rPr>
                <w:rFonts w:ascii="Times New Roman" w:hAnsi="Times New Roman" w:cs="Times New Roman" w:eastAsia="Times New Roman"/>
                <w:sz w:val="24"/>
                <w:b w:val="off"/>
                <w:i w:val="off"/>
                <w:strike w:val="off"/>
              </w:rPr>
              <w:t>ИНН</w:t>
            </w:r>
          </w:p>
        </w:tc>
        <w:tc>
          <w:tcPr>
            <w:tcW w:type="pct" w:w="510"/>
            <w:tcBorders>
              <w:top w:val="single"/>
              <w:left w:val="single"/>
              <w:bottom w:val="single"/>
              <w:right w:val="single"/>
            </w:tcBorders>
          </w:tcPr>
          <w:p/>
        </w:tc>
      </w:tr>
      <w:tr>
        <w:tc>
          <w:tcPr>
            <w:tcW w:type="pct" w:w="2275"/>
            <w:vMerge w:val="continue"/>
          </w:tcPr>
          <w:p/>
        </w:tc>
        <w:tc>
          <w:tcPr>
            <w:tcW w:type="pct" w:w="1365"/>
            <w:vMerge w:val="continue"/>
            <w:tcBorders>
              <w:top w:val="none"/>
              <w:left w:val="none"/>
              <w:bottom w:val="single"/>
              <w:right w:val="none"/>
            </w:tcBorders>
          </w:tcPr>
          <w:p/>
        </w:tc>
        <w:tc>
          <w:tcPr>
            <w:tcW w:type="pct" w:w="850"/>
            <w:vAlign w:val="center"/>
          </w:tcPr>
          <w:p>
            <w:pPr>
              <w:spacing w:after="0"/>
              <w:jc w:val="right"/>
            </w:pPr>
            <w:r>
              <w:rPr>
                <w:rFonts w:ascii="Times New Roman" w:hAnsi="Times New Roman" w:cs="Times New Roman" w:eastAsia="Times New Roman"/>
                <w:sz w:val="24"/>
                <w:b w:val="off"/>
                <w:i w:val="off"/>
                <w:strike w:val="off"/>
              </w:rPr>
              <w:t>КПП</w:t>
            </w:r>
          </w:p>
        </w:tc>
        <w:tc>
          <w:tcPr>
            <w:tcW w:type="pct" w:w="510"/>
            <w:tcBorders>
              <w:top w:val="single"/>
              <w:left w:val="single"/>
              <w:bottom w:val="single"/>
              <w:right w:val="single"/>
            </w:tcBorders>
          </w:tcPr>
          <w:p/>
        </w:tc>
      </w:tr>
      <w:tr>
        <w:tc>
          <w:tcPr>
            <w:tcW w:type="pct" w:w="2275"/>
          </w:tcPr>
          <w:p>
            <w:pPr>
              <w:spacing w:after="0"/>
              <w:jc w:val="both"/>
            </w:pPr>
            <w:r>
              <w:rPr>
                <w:rFonts w:ascii="Times New Roman" w:hAnsi="Times New Roman" w:cs="Times New Roman" w:eastAsia="Times New Roman"/>
                <w:sz w:val="24"/>
                <w:b w:val="off"/>
                <w:i w:val="off"/>
                <w:strike w:val="off"/>
              </w:rPr>
              <w:t>Место нахождения, телефон, адрес электронной почты</w:t>
            </w:r>
          </w:p>
        </w:tc>
        <w:tc>
          <w:tcPr>
            <w:tcW w:type="pct" w:w="1365"/>
            <w:tcBorders>
              <w:top w:val="none"/>
              <w:left w:val="none"/>
              <w:bottom w:val="single"/>
              <w:right w:val="none"/>
            </w:tcBorders>
          </w:tcPr>
          <w:p/>
        </w:tc>
        <w:tc>
          <w:tcPr>
            <w:tcW w:type="pct" w:w="850"/>
            <w:vAlign w:val="center"/>
          </w:tcPr>
          <w:p>
            <w:pPr>
              <w:spacing w:after="0"/>
              <w:jc w:val="right"/>
            </w:pPr>
            <w:r>
              <w:rPr>
                <w:rFonts w:ascii="Times New Roman" w:hAnsi="Times New Roman" w:cs="Times New Roman" w:eastAsia="Times New Roman"/>
                <w:sz w:val="24"/>
                <w:b w:val="off"/>
                <w:i w:val="off"/>
                <w:strike w:val="off"/>
              </w:rPr>
              <w:t>по ОКТМО</w:t>
            </w:r>
          </w:p>
        </w:tc>
        <w:tc>
          <w:tcPr>
            <w:tcW w:type="pct" w:w="510"/>
            <w:tcBorders>
              <w:top w:val="single"/>
              <w:left w:val="single"/>
              <w:bottom w:val="single"/>
              <w:right w:val="single"/>
            </w:tcBorders>
          </w:tcPr>
          <w:p/>
        </w:tc>
      </w:tr>
      <w:tr>
        <w:tc>
          <w:tcPr>
            <w:tcW w:type="pct" w:w="2275"/>
          </w:tcPr>
          <w:p>
            <w:pPr>
              <w:spacing w:after="0"/>
              <w:jc w:val="both"/>
            </w:pPr>
            <w:r>
              <w:rPr>
                <w:rFonts w:ascii="Times New Roman" w:hAnsi="Times New Roman" w:cs="Times New Roman" w:eastAsia="Times New Roman"/>
                <w:sz w:val="24"/>
                <w:b w:val="off"/>
                <w:i w:val="off"/>
                <w:strike w:val="off"/>
              </w:rPr>
              <w:t xml:space="preserve">Единица измерения: </w:t>
            </w:r>
          </w:p>
        </w:tc>
        <w:tc>
          <w:tcPr>
            <w:tcW w:type="pct" w:w="1365"/>
            <w:tcBorders>
              <w:top w:val="none"/>
              <w:left w:val="none"/>
              <w:bottom w:val="single"/>
              <w:right w:val="none"/>
            </w:tcBorders>
          </w:tcPr>
          <w:p>
            <w:pPr>
              <w:spacing w:after="0"/>
              <w:jc w:val="left"/>
            </w:pPr>
            <w:r>
              <w:rPr>
                <w:rFonts w:ascii="Times New Roman" w:hAnsi="Times New Roman" w:cs="Times New Roman" w:eastAsia="Times New Roman"/>
                <w:sz w:val="24"/>
                <w:b w:val="off"/>
                <w:i w:val="off"/>
                <w:strike w:val="off"/>
              </w:rPr>
              <w:t>рубль</w:t>
            </w:r>
          </w:p>
        </w:tc>
        <w:tc>
          <w:tcPr>
            <w:tcW w:type="pct" w:w="850"/>
            <w:vAlign w:val="center"/>
          </w:tcPr>
          <w:p>
            <w:pPr>
              <w:spacing w:after="0"/>
              <w:jc w:val="right"/>
            </w:pPr>
            <w:r>
              <w:rPr>
                <w:rFonts w:ascii="Times New Roman" w:hAnsi="Times New Roman" w:cs="Times New Roman" w:eastAsia="Times New Roman"/>
                <w:sz w:val="24"/>
                <w:b w:val="off"/>
                <w:i w:val="off"/>
                <w:strike w:val="off"/>
              </w:rPr>
              <w:t>по ОКЕИ</w:t>
            </w:r>
          </w:p>
        </w:tc>
        <w:tc>
          <w:tcPr>
            <w:tcW w:type="pct" w:w="510"/>
            <w:tcBorders>
              <w:top w:val="single"/>
              <w:left w:val="single"/>
              <w:bottom w:val="single"/>
              <w:right w:val="single"/>
            </w:tcBorders>
            <w:vAlign w:val="center"/>
          </w:tcPr>
          <w:p>
            <w:pPr>
              <w:spacing w:after="0"/>
              <w:jc w:val="center"/>
            </w:pPr>
            <w:r>
              <w:rPr>
                <w:rFonts w:ascii="Times New Roman" w:hAnsi="Times New Roman" w:cs="Times New Roman" w:eastAsia="Times New Roman"/>
                <w:sz w:val="24"/>
                <w:b w:val="off"/>
                <w:i w:val="off"/>
                <w:strike w:val="off"/>
              </w:rPr>
              <w:t>383</w:t>
            </w:r>
          </w:p>
        </w:tc>
      </w:tr>
    </w:tbl>
    <w:p>
      <w:pPr>
        <w:pageBreakBefore w:val="on"/>
      </w:pPr>
    </w:p>
    <w:p>
      <w:pPr>
        <w:spacing w:after="0" w:before="0"/>
        <w:jc w:val="both"/>
      </w:pPr>
      <w:r>
        <w:rPr>
          <w:rFonts w:ascii="Times New Roman" w:hAnsi="Times New Roman" w:cs="Times New Roman" w:eastAsia="Times New Roman"/>
          <w:sz w:val="24"/>
          <w:b w:val="off"/>
          <w:i w:val="off"/>
          <w:strike w:val="off"/>
        </w:rPr>
        <w:t>2.</w:t>
        <w:tab/>
      </w:r>
      <w:r>
        <w:rPr>
          <w:rFonts w:ascii="Times New Roman" w:hAnsi="Times New Roman" w:cs="Times New Roman" w:eastAsia="Times New Roman"/>
          <w:sz w:val="24"/>
          <w:b w:val="off"/>
          <w:i w:val="off"/>
          <w:strike w:val="off"/>
        </w:rPr>
        <w:t>Информация о закупках товаров, работ, услуг на 2026 финансовый год и на плановый период 2027 и 2028 годов:</w:t>
        <w:cr/>
      </w:r>
    </w:p>
    <w:tbl>
      <w:tblPr>
        <w:tblW w:w="0" w:type="auto"/>
        <w:tblBorders>
          <w:top w:val="single"/>
          <w:left w:val="single"/>
          <w:bottom w:val="single"/>
          <w:right w:val="single"/>
          <w:insideH w:val="single"/>
          <w:insideV w:val="single"/>
        </w:tblBorders>
        <w:tblCellMar>
          <w:top w:type="dxa" w:w="57"/>
          <w:left w:type="dxa" w:w="63"/>
          <w:bottom w:type="dxa" w:w="57"/>
          <w:right w:type="dxa" w:w="63"/>
        </w:tblCellMar>
      </w:tblPr>
      <w:tblPr>
        <w:tblW w:type="pct" w:w="5040"/>
        <w:tblBorders>
          <w:top w:val="single"/>
          <w:left w:val="single"/>
          <w:bottom w:val="single"/>
          <w:right w:val="single"/>
          <w:insideH w:val="single"/>
          <w:insideV w:val="single"/>
        </w:tblBorders>
        <w:tblLayout w:type="fixed"/>
      </w:tblPr>
      <w:tr>
        <w:trPr>
          <w:trHeight w:val="432"/>
        </w:trPr>
        <w:tc>
          <w:tcPr>
            <w:tcW w:type="pct" w:w="105"/>
            <w:vMerge w:val="restart"/>
            <w:vAlign w:val="center"/>
          </w:tcPr>
          <w:p>
            <w:pPr>
              <w:spacing w:after="0"/>
              <w:jc w:val="center"/>
            </w:pPr>
            <w:r>
              <w:rPr>
                <w:rFonts w:ascii="Times New Roman" w:hAnsi="Times New Roman" w:cs="Times New Roman" w:eastAsia="Times New Roman"/>
                <w:sz w:val="14"/>
                <w:b w:val="off"/>
                <w:i w:val="off"/>
                <w:strike w:val="off"/>
              </w:rPr>
              <w:t>№</w:t>
            </w:r>
          </w:p>
        </w:tc>
        <w:tc>
          <w:tcPr>
            <w:tcW w:type="pct" w:w="400"/>
            <w:vMerge w:val="restart"/>
            <w:textDirection w:val="btLr"/>
            <w:vAlign w:val="center"/>
          </w:tcPr>
          <w:p>
            <w:pPr>
              <w:spacing w:after="0"/>
              <w:jc w:val="center"/>
            </w:pPr>
            <w:r>
              <w:rPr>
                <w:rFonts w:ascii="Times New Roman" w:hAnsi="Times New Roman" w:cs="Times New Roman" w:eastAsia="Times New Roman"/>
                <w:sz w:val="14"/>
                <w:b w:val="off"/>
                <w:i w:val="off"/>
                <w:strike w:val="off"/>
              </w:rPr>
              <w:t>Идентификационный код закупки</w:t>
            </w:r>
          </w:p>
        </w:tc>
        <w:tc>
          <w:tcPr>
            <w:tcW w:type="pct" w:w="330"/>
            <w:hMerge w:val="restart"/>
            <w:vAlign w:val="center"/>
          </w:tcPr>
          <w:p>
            <w:pPr>
              <w:spacing w:after="0"/>
              <w:jc w:val="center"/>
            </w:pPr>
            <w:r>
              <w:rPr>
                <w:rFonts w:ascii="Times New Roman" w:hAnsi="Times New Roman" w:cs="Times New Roman" w:eastAsia="Times New Roman"/>
                <w:sz w:val="14"/>
                <w:b w:val="off"/>
                <w:i w:val="off"/>
                <w:strike w:val="off"/>
              </w:rPr>
              <w:t>Объект закупки</w:t>
            </w:r>
          </w:p>
        </w:tc>
        <w:tc>
          <w:tcPr>
            <w:tcW w:type="pct" w:w="445"/>
            <w:hMerge w:val="continue"/>
          </w:tcPr>
          <w:p/>
        </w:tc>
        <w:tc>
          <w:tcPr>
            <w:tcW w:type="pct" w:w="300"/>
            <w:hMerge w:val="continue"/>
          </w:tcPr>
          <w:p/>
        </w:tc>
        <w:tc>
          <w:tcPr>
            <w:tcW w:type="pct" w:w="225"/>
            <w:vMerge w:val="restart"/>
            <w:textDirection w:val="btLr"/>
            <w:vAlign w:val="center"/>
          </w:tcPr>
          <w:p>
            <w:pPr>
              <w:spacing w:after="0"/>
              <w:jc w:val="center"/>
            </w:pPr>
            <w:r>
              <w:rPr>
                <w:rFonts w:ascii="Times New Roman" w:hAnsi="Times New Roman" w:cs="Times New Roman" w:eastAsia="Times New Roman"/>
                <w:sz w:val="14"/>
                <w:b w:val="off"/>
                <w:i w:val="off"/>
                <w:strike w:val="off"/>
              </w:rPr>
              <w:t xml:space="preserve">Планируемый год размещения извещения об осуществлении закупки, направления приглашения принять участие в определении поставщика (подрядчика, исполнителя), заключения контракта </w:t>
            </w:r>
            <w:r>
              <w:br/>
            </w:r>
            <w:r>
              <w:rPr>
                <w:rFonts w:ascii="Times New Roman" w:hAnsi="Times New Roman" w:cs="Times New Roman" w:eastAsia="Times New Roman"/>
                <w:sz w:val="14"/>
                <w:b w:val="off"/>
                <w:i w:val="off"/>
                <w:strike w:val="off"/>
              </w:rPr>
              <w:t>с единственным поставщиком (подрядчиком, исполнителем)</w:t>
            </w:r>
          </w:p>
        </w:tc>
        <w:tc>
          <w:tcPr>
            <w:tcW w:type="pct" w:w="475"/>
            <w:hMerge w:val="restart"/>
            <w:vAlign w:val="center"/>
          </w:tcPr>
          <w:p>
            <w:pPr>
              <w:spacing w:after="0"/>
              <w:jc w:val="center"/>
            </w:pPr>
            <w:r>
              <w:rPr>
                <w:rFonts w:ascii="Times New Roman" w:hAnsi="Times New Roman" w:cs="Times New Roman" w:eastAsia="Times New Roman"/>
                <w:sz w:val="14"/>
                <w:b w:val="off"/>
                <w:i w:val="off"/>
                <w:strike w:val="off"/>
              </w:rPr>
              <w:t xml:space="preserve">Объем финансового обеспечения, </w:t>
            </w:r>
            <w:r>
              <w:br/>
            </w:r>
            <w:r>
              <w:rPr>
                <w:rFonts w:ascii="Times New Roman" w:hAnsi="Times New Roman" w:cs="Times New Roman" w:eastAsia="Times New Roman"/>
                <w:sz w:val="14"/>
                <w:b w:val="off"/>
                <w:i w:val="off"/>
                <w:strike w:val="off"/>
              </w:rPr>
              <w:t>в том числе планируемые платежи</w:t>
            </w:r>
          </w:p>
        </w:tc>
        <w:tc>
          <w:tcPr>
            <w:tcW w:type="pct" w:w="475"/>
            <w:hMerge w:val="continue"/>
          </w:tcPr>
          <w:p/>
        </w:tc>
        <w:tc>
          <w:tcPr>
            <w:tcW w:type="pct" w:w="475"/>
            <w:hMerge w:val="continue"/>
          </w:tcPr>
          <w:p/>
        </w:tc>
        <w:tc>
          <w:tcPr>
            <w:tcW w:type="pct" w:w="475"/>
            <w:hMerge w:val="continue"/>
          </w:tcPr>
          <w:p/>
        </w:tc>
        <w:tc>
          <w:tcPr>
            <w:tcW w:type="pct" w:w="475"/>
            <w:hMerge w:val="continue"/>
          </w:tcPr>
          <w:p/>
        </w:tc>
        <w:tc>
          <w:tcPr>
            <w:tcW w:type="pct" w:w="200"/>
            <w:vMerge w:val="restart"/>
            <w:textDirection w:val="btLr"/>
            <w:vAlign w:val="center"/>
          </w:tcPr>
          <w:p>
            <w:pPr>
              <w:spacing w:after="0"/>
              <w:jc w:val="center"/>
            </w:pPr>
            <w:r>
              <w:rPr>
                <w:rFonts w:ascii="Times New Roman" w:hAnsi="Times New Roman" w:cs="Times New Roman" w:eastAsia="Times New Roman"/>
                <w:sz w:val="14"/>
                <w:b w:val="off"/>
                <w:i w:val="off"/>
                <w:strike w:val="off"/>
              </w:rPr>
              <w:t xml:space="preserve">Информация о проведении обязательного </w:t>
            </w:r>
            <w:r>
              <w:br/>
            </w:r>
            <w:r>
              <w:rPr>
                <w:rFonts w:ascii="Times New Roman" w:hAnsi="Times New Roman" w:cs="Times New Roman" w:eastAsia="Times New Roman"/>
                <w:sz w:val="14"/>
                <w:b w:val="off"/>
                <w:i w:val="off"/>
                <w:strike w:val="off"/>
              </w:rPr>
              <w:t>общественного обсуждения закупки</w:t>
            </w:r>
          </w:p>
        </w:tc>
        <w:tc>
          <w:tcPr>
            <w:tcW w:type="pct" w:w="335"/>
            <w:vMerge w:val="restart"/>
            <w:textDirection w:val="btLr"/>
            <w:vAlign w:val="center"/>
          </w:tcPr>
          <w:p>
            <w:pPr>
              <w:spacing w:after="0"/>
              <w:jc w:val="center"/>
            </w:pPr>
            <w:r>
              <w:rPr>
                <w:rFonts w:ascii="Times New Roman" w:hAnsi="Times New Roman" w:cs="Times New Roman" w:eastAsia="Times New Roman"/>
                <w:sz w:val="14"/>
                <w:b w:val="off"/>
                <w:i w:val="off"/>
                <w:strike w:val="off"/>
              </w:rPr>
              <w:t>Наименование уполномоченного органа (учреждения)</w:t>
            </w:r>
          </w:p>
        </w:tc>
        <w:tc>
          <w:tcPr>
            <w:tcW w:type="pct" w:w="335"/>
            <w:vMerge w:val="restart"/>
            <w:textDirection w:val="btLr"/>
            <w:vAlign w:val="center"/>
          </w:tcPr>
          <w:p>
            <w:pPr>
              <w:spacing w:after="0"/>
              <w:jc w:val="center"/>
            </w:pPr>
            <w:r>
              <w:rPr>
                <w:rFonts w:ascii="Times New Roman" w:hAnsi="Times New Roman" w:cs="Times New Roman" w:eastAsia="Times New Roman"/>
                <w:sz w:val="14"/>
                <w:b w:val="off"/>
                <w:i w:val="off"/>
                <w:strike w:val="off"/>
              </w:rPr>
              <w:t xml:space="preserve">Наименование организатора проведения </w:t>
            </w:r>
            <w:r>
              <w:br/>
            </w:r>
            <w:r>
              <w:rPr>
                <w:rFonts w:ascii="Times New Roman" w:hAnsi="Times New Roman" w:cs="Times New Roman" w:eastAsia="Times New Roman"/>
                <w:sz w:val="14"/>
                <w:b w:val="off"/>
                <w:i w:val="off"/>
                <w:strike w:val="off"/>
              </w:rPr>
              <w:t>совместного конкурса или аукциона</w:t>
            </w:r>
          </w:p>
        </w:tc>
      </w:tr>
      <w:tr>
        <w:trPr>
          <w:trHeight w:val="2270"/>
        </w:trPr>
        <w:tc>
          <w:tcPr>
            <w:tcW w:type="pct" w:w="105"/>
            <w:vMerge w:val="continue"/>
          </w:tcPr>
          <w:p/>
        </w:tc>
        <w:tc>
          <w:tcPr>
            <w:tcW w:type="pct" w:w="400"/>
            <w:vMerge w:val="continue"/>
          </w:tcPr>
          <w:p/>
        </w:tc>
        <w:tc>
          <w:tcPr>
            <w:tcW w:type="pct" w:w="330"/>
            <w:hMerge w:val="restart"/>
            <w:textDirection w:val="btLr"/>
            <w:vAlign w:val="center"/>
          </w:tcPr>
          <w:p>
            <w:pPr>
              <w:spacing w:after="0"/>
              <w:jc w:val="center"/>
            </w:pPr>
            <w:r>
              <w:rPr>
                <w:rFonts w:ascii="Times New Roman" w:hAnsi="Times New Roman" w:cs="Times New Roman" w:eastAsia="Times New Roman"/>
                <w:sz w:val="14"/>
                <w:b w:val="off"/>
                <w:i w:val="off"/>
                <w:strike w:val="off"/>
              </w:rPr>
              <w:t xml:space="preserve">Товар, работа, услуга по Общероссийскому классификатору продукции по видам экономической деятельности </w:t>
            </w:r>
            <w:r>
              <w:br/>
            </w:r>
            <w:r>
              <w:rPr>
                <w:rFonts w:ascii="Times New Roman" w:hAnsi="Times New Roman" w:cs="Times New Roman" w:eastAsia="Times New Roman"/>
                <w:sz w:val="14"/>
                <w:b w:val="off"/>
                <w:i w:val="off"/>
                <w:strike w:val="off"/>
              </w:rPr>
              <w:t>ОК 034-2014 (КПЕС 2008) (ОКПД2)</w:t>
            </w:r>
          </w:p>
        </w:tc>
        <w:tc>
          <w:tcPr>
            <w:tcW w:type="pct" w:w="445"/>
            <w:hMerge w:val="continue"/>
          </w:tcPr>
          <w:p/>
        </w:tc>
        <w:tc>
          <w:tcPr>
            <w:tcW w:type="pct" w:w="300"/>
            <w:vMerge w:val="restart"/>
            <w:textDirection w:val="btLr"/>
            <w:vAlign w:val="center"/>
          </w:tcPr>
          <w:p>
            <w:pPr>
              <w:spacing w:after="0"/>
              <w:jc w:val="center"/>
            </w:pPr>
            <w:r>
              <w:rPr>
                <w:rFonts w:ascii="Times New Roman" w:hAnsi="Times New Roman" w:cs="Times New Roman" w:eastAsia="Times New Roman"/>
                <w:sz w:val="14"/>
                <w:b w:val="off"/>
                <w:i w:val="off"/>
                <w:strike w:val="off"/>
              </w:rPr>
              <w:t>Наименование объекта закупки</w:t>
            </w:r>
          </w:p>
        </w:tc>
        <w:tc>
          <w:tcPr>
            <w:tcW w:type="pct" w:w="225"/>
            <w:vMerge w:val="continue"/>
          </w:tcPr>
          <w:p/>
        </w:tc>
        <w:tc>
          <w:tcPr>
            <w:tcW w:type="pct" w:w="475"/>
            <w:vMerge w:val="restart"/>
            <w:textDirection w:val="btLr"/>
            <w:vAlign w:val="center"/>
          </w:tcPr>
          <w:p>
            <w:pPr>
              <w:spacing w:after="0"/>
              <w:jc w:val="center"/>
            </w:pPr>
            <w:r>
              <w:rPr>
                <w:rFonts w:ascii="Times New Roman" w:hAnsi="Times New Roman" w:cs="Times New Roman" w:eastAsia="Times New Roman"/>
                <w:sz w:val="14"/>
                <w:b w:val="off"/>
                <w:i w:val="off"/>
                <w:strike w:val="off"/>
              </w:rPr>
              <w:t>Всего</w:t>
            </w:r>
          </w:p>
        </w:tc>
        <w:tc>
          <w:tcPr>
            <w:tcW w:type="pct" w:w="475"/>
            <w:vMerge w:val="restart"/>
            <w:textDirection w:val="btLr"/>
            <w:vAlign w:val="center"/>
          </w:tcPr>
          <w:p>
            <w:pPr>
              <w:spacing w:after="0"/>
              <w:jc w:val="center"/>
            </w:pPr>
            <w:r>
              <w:rPr>
                <w:rFonts w:ascii="Times New Roman" w:hAnsi="Times New Roman" w:cs="Times New Roman" w:eastAsia="Times New Roman"/>
                <w:sz w:val="14"/>
                <w:b w:val="off"/>
                <w:i w:val="off"/>
                <w:strike w:val="off"/>
              </w:rPr>
              <w:t>На текущий финансовый год</w:t>
            </w:r>
          </w:p>
        </w:tc>
        <w:tc>
          <w:tcPr>
            <w:tcW w:type="pct" w:w="475"/>
            <w:hMerge w:val="restart"/>
            <w:textDirection w:val="btLr"/>
            <w:vAlign w:val="center"/>
          </w:tcPr>
          <w:p>
            <w:pPr>
              <w:spacing w:after="0"/>
              <w:jc w:val="center"/>
            </w:pPr>
            <w:r>
              <w:rPr>
                <w:rFonts w:ascii="Times New Roman" w:hAnsi="Times New Roman" w:cs="Times New Roman" w:eastAsia="Times New Roman"/>
                <w:sz w:val="14"/>
                <w:b w:val="off"/>
                <w:i w:val="off"/>
                <w:strike w:val="off"/>
              </w:rPr>
              <w:t>На плановый период</w:t>
            </w:r>
          </w:p>
        </w:tc>
        <w:tc>
          <w:tcPr>
            <w:tcW w:type="pct" w:w="475"/>
            <w:hMerge w:val="continue"/>
          </w:tcPr>
          <w:p/>
        </w:tc>
        <w:tc>
          <w:tcPr>
            <w:tcW w:type="pct" w:w="475"/>
            <w:vMerge w:val="restart"/>
            <w:textDirection w:val="btLr"/>
            <w:vAlign w:val="center"/>
          </w:tcPr>
          <w:p>
            <w:pPr>
              <w:spacing w:after="0"/>
              <w:jc w:val="center"/>
            </w:pPr>
            <w:r>
              <w:rPr>
                <w:rFonts w:ascii="Times New Roman" w:hAnsi="Times New Roman" w:cs="Times New Roman" w:eastAsia="Times New Roman"/>
                <w:sz w:val="14"/>
                <w:b w:val="off"/>
                <w:i w:val="off"/>
                <w:strike w:val="off"/>
              </w:rPr>
              <w:t>Последующие годы</w:t>
            </w:r>
          </w:p>
        </w:tc>
        <w:tc>
          <w:tcPr>
            <w:tcW w:type="pct" w:w="200"/>
            <w:vMerge w:val="continue"/>
          </w:tcPr>
          <w:p/>
        </w:tc>
        <w:tc>
          <w:tcPr>
            <w:tcW w:type="pct" w:w="335"/>
            <w:vMerge w:val="continue"/>
          </w:tcPr>
          <w:p/>
        </w:tc>
        <w:tc>
          <w:tcPr>
            <w:tcW w:type="pct" w:w="335"/>
            <w:vMerge w:val="continue"/>
          </w:tcPr>
          <w:p/>
        </w:tc>
      </w:tr>
      <w:tr>
        <w:trPr>
          <w:trHeight w:val="1137"/>
        </w:trPr>
        <w:tc>
          <w:tcPr>
            <w:tcW w:type="pct" w:w="105"/>
            <w:vMerge w:val="continue"/>
          </w:tcPr>
          <w:p/>
        </w:tc>
        <w:tc>
          <w:tcPr>
            <w:tcW w:type="pct" w:w="400"/>
            <w:vMerge w:val="continue"/>
          </w:tcPr>
          <w:p/>
        </w:tc>
        <w:tc>
          <w:tcPr>
            <w:tcW w:type="pct" w:w="330"/>
            <w:textDirection w:val="btLr"/>
            <w:vAlign w:val="center"/>
          </w:tcPr>
          <w:p>
            <w:pPr>
              <w:spacing w:after="0"/>
              <w:jc w:val="center"/>
            </w:pPr>
            <w:r>
              <w:rPr>
                <w:rFonts w:ascii="Times New Roman" w:hAnsi="Times New Roman" w:cs="Times New Roman" w:eastAsia="Times New Roman"/>
                <w:sz w:val="14"/>
                <w:b w:val="off"/>
                <w:i w:val="off"/>
                <w:strike w:val="off"/>
              </w:rPr>
              <w:t>Код</w:t>
            </w:r>
          </w:p>
        </w:tc>
        <w:tc>
          <w:tcPr>
            <w:tcW w:type="pct" w:w="445"/>
            <w:textDirection w:val="btLr"/>
            <w:vAlign w:val="center"/>
          </w:tcPr>
          <w:p>
            <w:pPr>
              <w:spacing w:after="0"/>
              <w:jc w:val="center"/>
            </w:pPr>
            <w:r>
              <w:rPr>
                <w:rFonts w:ascii="Times New Roman" w:hAnsi="Times New Roman" w:cs="Times New Roman" w:eastAsia="Times New Roman"/>
                <w:sz w:val="14"/>
                <w:b w:val="off"/>
                <w:i w:val="off"/>
                <w:strike w:val="off"/>
              </w:rPr>
              <w:t>Наименование</w:t>
            </w:r>
          </w:p>
        </w:tc>
        <w:tc>
          <w:tcPr>
            <w:tcW w:type="pct" w:w="300"/>
            <w:vMerge w:val="continue"/>
          </w:tcPr>
          <w:p/>
        </w:tc>
        <w:tc>
          <w:tcPr>
            <w:tcW w:type="pct" w:w="225"/>
            <w:vMerge w:val="continue"/>
          </w:tcPr>
          <w:p/>
        </w:tc>
        <w:tc>
          <w:tcPr>
            <w:tcW w:type="pct" w:w="475"/>
            <w:vMerge w:val="continue"/>
          </w:tcPr>
          <w:p/>
        </w:tc>
        <w:tc>
          <w:tcPr>
            <w:tcW w:type="pct" w:w="475"/>
            <w:vMerge w:val="continue"/>
          </w:tcPr>
          <w:p/>
        </w:tc>
        <w:tc>
          <w:tcPr>
            <w:tcW w:type="pct" w:w="475"/>
            <w:textDirection w:val="btLr"/>
            <w:vAlign w:val="center"/>
          </w:tcPr>
          <w:p>
            <w:pPr>
              <w:spacing w:after="0"/>
              <w:jc w:val="center"/>
            </w:pPr>
            <w:r>
              <w:rPr>
                <w:rFonts w:ascii="Times New Roman" w:hAnsi="Times New Roman" w:cs="Times New Roman" w:eastAsia="Times New Roman"/>
                <w:sz w:val="14"/>
                <w:b w:val="off"/>
                <w:i w:val="off"/>
                <w:strike w:val="off"/>
              </w:rPr>
              <w:t>На первый год</w:t>
            </w:r>
          </w:p>
        </w:tc>
        <w:tc>
          <w:tcPr>
            <w:tcW w:type="pct" w:w="475"/>
            <w:textDirection w:val="btLr"/>
            <w:vAlign w:val="center"/>
          </w:tcPr>
          <w:p>
            <w:pPr>
              <w:spacing w:after="0"/>
              <w:jc w:val="center"/>
            </w:pPr>
            <w:r>
              <w:rPr>
                <w:rFonts w:ascii="Times New Roman" w:hAnsi="Times New Roman" w:cs="Times New Roman" w:eastAsia="Times New Roman"/>
                <w:sz w:val="14"/>
                <w:b w:val="off"/>
                <w:i w:val="off"/>
                <w:strike w:val="off"/>
              </w:rPr>
              <w:t>На второй год</w:t>
            </w:r>
          </w:p>
        </w:tc>
        <w:tc>
          <w:tcPr>
            <w:tcW w:type="pct" w:w="475"/>
            <w:vMerge w:val="continue"/>
          </w:tcPr>
          <w:p/>
        </w:tc>
        <w:tc>
          <w:tcPr>
            <w:tcW w:type="pct" w:w="200"/>
            <w:vMerge w:val="continue"/>
          </w:tcPr>
          <w:p/>
        </w:tc>
        <w:tc>
          <w:tcPr>
            <w:tcW w:type="pct" w:w="335"/>
            <w:vMerge w:val="continue"/>
          </w:tcPr>
          <w:p/>
        </w:tc>
        <w:tc>
          <w:tcPr>
            <w:tcW w:type="pct" w:w="335"/>
            <w:vMerge w:val="continue"/>
          </w:tcPr>
          <w:p/>
        </w:tc>
      </w:tr>
    </w:tbl>
    <w:p>
      <w:pPr>
        <w:spacing w:after="0" w:before="0" w:line="20" w:lineRule="exact"/>
        <w:ind w:hanging="0"/>
      </w:pPr>
      <w:r>
        <w:rPr>
          <w:rFonts w:ascii="Times New Roman" w:hAnsi="Times New Roman" w:cs="Times New Roman" w:eastAsia="Times New Roman"/>
          <w:sz w:val="2"/>
          <w:b w:val="off"/>
          <w:i w:val="off"/>
          <w:strike w:val="off"/>
        </w:rPr>
        <w:t xml:space="preserve"> </w:t>
      </w:r>
    </w:p>
    <w:tbl>
      <w:tblPr>
        <w:tblW w:w="0" w:type="auto"/>
        <w:tblBorders>
          <w:top w:val="single"/>
          <w:left w:val="single"/>
          <w:bottom w:val="single"/>
          <w:right w:val="single"/>
          <w:insideH w:val="single"/>
          <w:insideV w:val="single"/>
        </w:tblBorders>
        <w:tblCellMar>
          <w:top w:type="dxa" w:w="57"/>
          <w:left w:type="dxa" w:w="63"/>
          <w:bottom w:type="dxa" w:w="57"/>
          <w:right w:type="dxa" w:w="63"/>
        </w:tblCellMar>
      </w:tblPr>
      <w:tblPr>
        <w:tblW w:type="pct" w:w="5040"/>
        <w:tblBorders>
          <w:top w:val="single"/>
          <w:left w:val="single"/>
          <w:bottom w:val="single"/>
          <w:right w:val="single"/>
          <w:insideH w:val="single"/>
          <w:insideV w:val="single"/>
        </w:tblBorders>
        <w:tblLayout w:type="fixed"/>
      </w:tblPr>
      <w:tr>
        <w:trPr>
          <w:cantSplit w:val="on"/>
          <w:tblHeader w:val="on"/>
          <w:trHeight w:val="256"/>
        </w:trPr>
        <w:tc>
          <w:tcPr>
            <w:tcW w:type="pct" w:w="105"/>
            <w:shd w:fill="f2f2f2"/>
            <w:vAlign w:val="center"/>
          </w:tcPr>
          <w:p>
            <w:pPr>
              <w:spacing w:after="0"/>
              <w:jc w:val="center"/>
            </w:pPr>
            <w:r>
              <w:rPr>
                <w:rFonts w:ascii="Times New Roman" w:hAnsi="Times New Roman" w:cs="Times New Roman" w:eastAsia="Times New Roman"/>
                <w:sz w:val="22"/>
                <w:b w:val="off"/>
                <w:i w:val="off"/>
                <w:strike w:val="off"/>
              </w:rPr>
              <w:t>1</w:t>
            </w:r>
          </w:p>
        </w:tc>
        <w:tc>
          <w:tcPr>
            <w:tcW w:type="pct" w:w="400"/>
            <w:shd w:fill="f2f2f2"/>
            <w:vAlign w:val="center"/>
          </w:tcPr>
          <w:p>
            <w:pPr>
              <w:spacing w:after="0"/>
              <w:jc w:val="center"/>
            </w:pPr>
            <w:r>
              <w:rPr>
                <w:rFonts w:ascii="Times New Roman" w:hAnsi="Times New Roman" w:cs="Times New Roman" w:eastAsia="Times New Roman"/>
                <w:sz w:val="22"/>
                <w:b w:val="off"/>
                <w:i w:val="off"/>
                <w:strike w:val="off"/>
              </w:rPr>
              <w:t>2</w:t>
            </w:r>
          </w:p>
        </w:tc>
        <w:tc>
          <w:tcPr>
            <w:tcW w:type="pct" w:w="330"/>
            <w:shd w:fill="f2f2f2"/>
            <w:vAlign w:val="center"/>
          </w:tcPr>
          <w:p>
            <w:pPr>
              <w:spacing w:after="0"/>
              <w:jc w:val="center"/>
            </w:pPr>
            <w:r>
              <w:rPr>
                <w:rFonts w:ascii="Times New Roman" w:hAnsi="Times New Roman" w:cs="Times New Roman" w:eastAsia="Times New Roman"/>
                <w:sz w:val="22"/>
                <w:b w:val="off"/>
                <w:i w:val="off"/>
                <w:strike w:val="off"/>
              </w:rPr>
              <w:t>3</w:t>
            </w:r>
          </w:p>
        </w:tc>
        <w:tc>
          <w:tcPr>
            <w:tcW w:type="pct" w:w="445"/>
            <w:shd w:fill="f2f2f2"/>
            <w:vAlign w:val="center"/>
          </w:tcPr>
          <w:p>
            <w:pPr>
              <w:spacing w:after="0"/>
              <w:jc w:val="center"/>
            </w:pPr>
            <w:r>
              <w:rPr>
                <w:rFonts w:ascii="Times New Roman" w:hAnsi="Times New Roman" w:cs="Times New Roman" w:eastAsia="Times New Roman"/>
                <w:sz w:val="22"/>
                <w:b w:val="off"/>
                <w:i w:val="off"/>
                <w:strike w:val="off"/>
              </w:rPr>
              <w:t>4</w:t>
            </w:r>
          </w:p>
        </w:tc>
        <w:tc>
          <w:tcPr>
            <w:tcW w:type="pct" w:w="300"/>
            <w:shd w:fill="f2f2f2"/>
            <w:vAlign w:val="center"/>
          </w:tcPr>
          <w:p>
            <w:pPr>
              <w:spacing w:after="0"/>
              <w:jc w:val="center"/>
            </w:pPr>
            <w:r>
              <w:rPr>
                <w:rFonts w:ascii="Times New Roman" w:hAnsi="Times New Roman" w:cs="Times New Roman" w:eastAsia="Times New Roman"/>
                <w:sz w:val="22"/>
                <w:b w:val="off"/>
                <w:i w:val="off"/>
                <w:strike w:val="off"/>
              </w:rPr>
              <w:t>5</w:t>
            </w:r>
          </w:p>
        </w:tc>
        <w:tc>
          <w:tcPr>
            <w:tcW w:type="pct" w:w="225"/>
            <w:shd w:fill="f2f2f2"/>
            <w:vAlign w:val="center"/>
          </w:tcPr>
          <w:p>
            <w:pPr>
              <w:spacing w:after="0"/>
              <w:jc w:val="center"/>
            </w:pPr>
            <w:r>
              <w:rPr>
                <w:rFonts w:ascii="Times New Roman" w:hAnsi="Times New Roman" w:cs="Times New Roman" w:eastAsia="Times New Roman"/>
                <w:sz w:val="22"/>
                <w:b w:val="off"/>
                <w:i w:val="off"/>
                <w:strike w:val="off"/>
              </w:rPr>
              <w:t>6</w:t>
            </w:r>
          </w:p>
        </w:tc>
        <w:tc>
          <w:tcPr>
            <w:tcW w:type="pct" w:w="475"/>
            <w:shd w:fill="f2f2f2"/>
            <w:vAlign w:val="center"/>
          </w:tcPr>
          <w:p>
            <w:pPr>
              <w:spacing w:after="0"/>
              <w:jc w:val="center"/>
            </w:pPr>
            <w:r>
              <w:rPr>
                <w:rFonts w:ascii="Times New Roman" w:hAnsi="Times New Roman" w:cs="Times New Roman" w:eastAsia="Times New Roman"/>
                <w:sz w:val="22"/>
                <w:b w:val="off"/>
                <w:i w:val="off"/>
                <w:strike w:val="off"/>
              </w:rPr>
              <w:t>7</w:t>
            </w:r>
          </w:p>
        </w:tc>
        <w:tc>
          <w:tcPr>
            <w:tcW w:type="pct" w:w="475"/>
            <w:shd w:fill="f2f2f2"/>
            <w:vAlign w:val="center"/>
          </w:tcPr>
          <w:p>
            <w:pPr>
              <w:spacing w:after="0"/>
              <w:jc w:val="center"/>
            </w:pPr>
            <w:r>
              <w:rPr>
                <w:rFonts w:ascii="Times New Roman" w:hAnsi="Times New Roman" w:cs="Times New Roman" w:eastAsia="Times New Roman"/>
                <w:sz w:val="22"/>
                <w:b w:val="off"/>
                <w:i w:val="off"/>
                <w:strike w:val="off"/>
              </w:rPr>
              <w:t>8</w:t>
            </w:r>
          </w:p>
        </w:tc>
        <w:tc>
          <w:tcPr>
            <w:tcW w:type="pct" w:w="475"/>
            <w:shd w:fill="f2f2f2"/>
            <w:vAlign w:val="center"/>
          </w:tcPr>
          <w:p>
            <w:pPr>
              <w:spacing w:after="0"/>
              <w:jc w:val="center"/>
            </w:pPr>
            <w:r>
              <w:rPr>
                <w:rFonts w:ascii="Times New Roman" w:hAnsi="Times New Roman" w:cs="Times New Roman" w:eastAsia="Times New Roman"/>
                <w:sz w:val="22"/>
                <w:b w:val="off"/>
                <w:i w:val="off"/>
                <w:strike w:val="off"/>
              </w:rPr>
              <w:t>9</w:t>
            </w:r>
          </w:p>
        </w:tc>
        <w:tc>
          <w:tcPr>
            <w:tcW w:type="pct" w:w="475"/>
            <w:shd w:fill="f2f2f2"/>
            <w:vAlign w:val="center"/>
          </w:tcPr>
          <w:p>
            <w:pPr>
              <w:spacing w:after="0"/>
              <w:jc w:val="center"/>
            </w:pPr>
            <w:r>
              <w:rPr>
                <w:rFonts w:ascii="Times New Roman" w:hAnsi="Times New Roman" w:cs="Times New Roman" w:eastAsia="Times New Roman"/>
                <w:sz w:val="22"/>
                <w:b w:val="off"/>
                <w:i w:val="off"/>
                <w:strike w:val="off"/>
              </w:rPr>
              <w:t>10</w:t>
            </w:r>
          </w:p>
        </w:tc>
        <w:tc>
          <w:tcPr>
            <w:tcW w:type="pct" w:w="475"/>
            <w:shd w:fill="f2f2f2"/>
            <w:vAlign w:val="center"/>
          </w:tcPr>
          <w:p>
            <w:pPr>
              <w:spacing w:after="0"/>
              <w:jc w:val="center"/>
            </w:pPr>
            <w:r>
              <w:rPr>
                <w:rFonts w:ascii="Times New Roman" w:hAnsi="Times New Roman" w:cs="Times New Roman" w:eastAsia="Times New Roman"/>
                <w:sz w:val="22"/>
                <w:b w:val="off"/>
                <w:i w:val="off"/>
                <w:strike w:val="off"/>
              </w:rPr>
              <w:t>11</w:t>
            </w:r>
          </w:p>
        </w:tc>
        <w:tc>
          <w:tcPr>
            <w:tcW w:type="pct" w:w="200"/>
            <w:shd w:fill="f2f2f2"/>
            <w:vAlign w:val="center"/>
          </w:tcPr>
          <w:p>
            <w:pPr>
              <w:spacing w:after="0"/>
              <w:jc w:val="center"/>
            </w:pPr>
            <w:r>
              <w:rPr>
                <w:rFonts w:ascii="Times New Roman" w:hAnsi="Times New Roman" w:cs="Times New Roman" w:eastAsia="Times New Roman"/>
                <w:sz w:val="22"/>
                <w:b w:val="off"/>
                <w:i w:val="off"/>
                <w:strike w:val="off"/>
              </w:rPr>
              <w:t>12</w:t>
            </w:r>
          </w:p>
        </w:tc>
        <w:tc>
          <w:tcPr>
            <w:tcW w:type="pct" w:w="335"/>
            <w:shd w:fill="f2f2f2"/>
            <w:vAlign w:val="center"/>
          </w:tcPr>
          <w:p>
            <w:pPr>
              <w:spacing w:after="0"/>
              <w:jc w:val="center"/>
            </w:pPr>
            <w:r>
              <w:rPr>
                <w:rFonts w:ascii="Times New Roman" w:hAnsi="Times New Roman" w:cs="Times New Roman" w:eastAsia="Times New Roman"/>
                <w:sz w:val="22"/>
                <w:b w:val="off"/>
                <w:i w:val="off"/>
                <w:strike w:val="off"/>
              </w:rPr>
              <w:t>13</w:t>
            </w:r>
          </w:p>
        </w:tc>
        <w:tc>
          <w:tcPr>
            <w:tcW w:type="pct" w:w="335"/>
            <w:shd w:fill="f2f2f2"/>
            <w:vAlign w:val="center"/>
          </w:tcPr>
          <w:p>
            <w:pPr>
              <w:spacing w:after="0"/>
              <w:jc w:val="center"/>
            </w:pPr>
            <w:r>
              <w:rPr>
                <w:rFonts w:ascii="Times New Roman" w:hAnsi="Times New Roman" w:cs="Times New Roman" w:eastAsia="Times New Roman"/>
                <w:sz w:val="22"/>
                <w:b w:val="off"/>
                <w:i w:val="off"/>
                <w:strike w:val="off"/>
              </w:rPr>
              <w:t>14</w:t>
            </w:r>
          </w:p>
        </w:tc>
      </w:tr>
      <w:tr>
        <w:trPr>
          <w:cantSplit w:val="on"/>
        </w:trPr>
        <w:tc>
          <w:tcPr>
            <w:tcW w:type="pct" w:w="105"/>
            <w:vMerge w:val="restart"/>
            <w:vAlign w:val="center"/>
          </w:tcPr>
          <w:p>
            <w:pPr>
              <w:spacing w:after="0"/>
              <w:jc w:val="center"/>
            </w:pPr>
            <w:r>
              <w:rPr>
                <w:rFonts w:ascii="Times New Roman" w:hAnsi="Times New Roman" w:cs="Times New Roman" w:eastAsia="Times New Roman"/>
                <w:sz w:val="14"/>
                <w:b w:val="off"/>
                <w:i w:val="off"/>
                <w:strike w:val="off"/>
              </w:rPr>
              <w:t>1</w:t>
            </w:r>
          </w:p>
        </w:tc>
        <w:tc>
          <w:tcPr>
            <w:tcW w:type="pct" w:w="400"/>
            <w:vMerge w:val="restart"/>
            <w:vAlign w:val="center"/>
          </w:tcPr>
          <w:p>
            <w:pPr>
              <w:spacing w:after="0"/>
              <w:jc w:val="center"/>
            </w:pPr>
            <w:r>
              <w:rPr>
                <w:rFonts w:ascii="Times New Roman" w:hAnsi="Times New Roman" w:cs="Times New Roman" w:eastAsia="Times New Roman"/>
                <w:sz w:val="14"/>
                <w:b w:val="off"/>
                <w:i w:val="off"/>
                <w:strike w:val="off"/>
              </w:rPr>
              <w:t>272591500517059150100100020000000242</w:t>
            </w:r>
          </w:p>
        </w:tc>
        <w:tc>
          <w:tcPr>
            <w:tcW w:type="pct" w:w="330"/>
            <w:vAlign w:val="center"/>
          </w:tcPr>
          <w:p>
            <w:pPr>
              <w:spacing w:after="0"/>
              <w:jc w:val="center"/>
            </w:pPr>
            <w:r>
              <w:rPr>
                <w:rFonts w:ascii="Times New Roman" w:hAnsi="Times New Roman" w:cs="Times New Roman" w:eastAsia="Times New Roman"/>
                <w:sz w:val="14"/>
                <w:b w:val="off"/>
                <w:i w:val="off"/>
                <w:strike w:val="off"/>
              </w:rPr>
              <w:t>33.12</w:t>
            </w:r>
          </w:p>
        </w:tc>
        <w:tc>
          <w:tcPr>
            <w:tcW w:type="pct" w:w="445"/>
            <w:vAlign w:val="center"/>
          </w:tcPr>
          <w:p>
            <w:pPr>
              <w:spacing w:after="0"/>
              <w:jc w:val="center"/>
            </w:pPr>
            <w:r>
              <w:rPr>
                <w:rFonts w:ascii="Times New Roman" w:hAnsi="Times New Roman" w:cs="Times New Roman" w:eastAsia="Times New Roman"/>
                <w:sz w:val="14"/>
                <w:b w:val="off"/>
                <w:i w:val="off"/>
                <w:strike w:val="off"/>
              </w:rPr>
              <w:t>Услуги по ремонту оборудования</w:t>
            </w:r>
          </w:p>
        </w:tc>
        <w:tc>
          <w:tcPr>
            <w:tcW w:type="pct" w:w="300"/>
            <w:vMerge w:val="restart"/>
            <w:vAlign w:val="center"/>
          </w:tcPr>
          <w:p>
            <w:pPr>
              <w:spacing w:after="0"/>
              <w:jc w:val="center"/>
            </w:pPr>
            <w:r>
              <w:rPr>
                <w:rFonts w:ascii="Times New Roman" w:hAnsi="Times New Roman" w:cs="Times New Roman" w:eastAsia="Times New Roman"/>
                <w:sz w:val="14"/>
                <w:b w:val="off"/>
                <w:i w:val="off"/>
                <w:strike w:val="off"/>
              </w:rPr>
              <w:t>Услуги общедоступной электрической связи</w:t>
            </w:r>
          </w:p>
        </w:tc>
        <w:tc>
          <w:tcPr>
            <w:tcW w:type="pct" w:w="225"/>
            <w:vMerge w:val="restart"/>
            <w:vAlign w:val="center"/>
          </w:tcPr>
          <w:p>
            <w:pPr>
              <w:spacing w:after="0"/>
              <w:jc w:val="center"/>
            </w:pPr>
            <w:r>
              <w:rPr>
                <w:rFonts w:ascii="Times New Roman" w:hAnsi="Times New Roman" w:cs="Times New Roman" w:eastAsia="Times New Roman"/>
                <w:sz w:val="14"/>
                <w:b w:val="off"/>
                <w:i w:val="off"/>
                <w:strike w:val="off"/>
              </w:rPr>
              <w:t>2027</w:t>
            </w:r>
          </w:p>
        </w:tc>
        <w:tc>
          <w:tcPr>
            <w:tcW w:type="pct" w:w="475"/>
            <w:vMerge w:val="restart"/>
            <w:vAlign w:val="center"/>
          </w:tcPr>
          <w:p>
            <w:pPr>
              <w:spacing w:after="0"/>
              <w:jc w:val="center"/>
            </w:pPr>
            <w:r>
              <w:rPr>
                <w:rFonts w:ascii="Times New Roman" w:hAnsi="Times New Roman" w:cs="Times New Roman" w:eastAsia="Times New Roman"/>
                <w:sz w:val="14"/>
                <w:b w:val="off"/>
                <w:i w:val="off"/>
                <w:strike w:val="off"/>
              </w:rPr>
              <w:t>16 588,00</w:t>
            </w:r>
          </w:p>
        </w:tc>
        <w:tc>
          <w:tcPr>
            <w:tcW w:type="pct" w:w="475"/>
            <w:vMerge w:val="restart"/>
            <w:vAlign w:val="center"/>
          </w:tcPr>
          <w:p>
            <w:pPr>
              <w:spacing w:after="0"/>
              <w:jc w:val="center"/>
            </w:pPr>
            <w:r>
              <w:rPr>
                <w:rFonts w:ascii="Times New Roman" w:hAnsi="Times New Roman" w:cs="Times New Roman" w:eastAsia="Times New Roman"/>
                <w:sz w:val="14"/>
                <w:b w:val="off"/>
                <w:i w:val="off"/>
                <w:strike w:val="off"/>
              </w:rPr>
              <w:t>0,00</w:t>
            </w:r>
          </w:p>
        </w:tc>
        <w:tc>
          <w:tcPr>
            <w:tcW w:type="pct" w:w="475"/>
            <w:vMerge w:val="restart"/>
            <w:vAlign w:val="center"/>
          </w:tcPr>
          <w:p>
            <w:pPr>
              <w:spacing w:after="0"/>
              <w:jc w:val="center"/>
            </w:pPr>
            <w:r>
              <w:rPr>
                <w:rFonts w:ascii="Times New Roman" w:hAnsi="Times New Roman" w:cs="Times New Roman" w:eastAsia="Times New Roman"/>
                <w:sz w:val="14"/>
                <w:b w:val="off"/>
                <w:i w:val="off"/>
                <w:strike w:val="off"/>
              </w:rPr>
              <w:t>0,00</w:t>
            </w:r>
          </w:p>
        </w:tc>
        <w:tc>
          <w:tcPr>
            <w:tcW w:type="pct" w:w="475"/>
            <w:vMerge w:val="restart"/>
            <w:vAlign w:val="center"/>
          </w:tcPr>
          <w:p>
            <w:pPr>
              <w:spacing w:after="0"/>
              <w:jc w:val="center"/>
            </w:pPr>
            <w:r>
              <w:rPr>
                <w:rFonts w:ascii="Times New Roman" w:hAnsi="Times New Roman" w:cs="Times New Roman" w:eastAsia="Times New Roman"/>
                <w:sz w:val="14"/>
                <w:b w:val="off"/>
                <w:i w:val="off"/>
                <w:strike w:val="off"/>
              </w:rPr>
              <w:t>16 588,00</w:t>
            </w:r>
          </w:p>
        </w:tc>
        <w:tc>
          <w:tcPr>
            <w:tcW w:type="pct" w:w="475"/>
            <w:vMerge w:val="restart"/>
            <w:vAlign w:val="center"/>
          </w:tcPr>
          <w:p>
            <w:pPr>
              <w:spacing w:after="0"/>
              <w:jc w:val="center"/>
            </w:pPr>
            <w:r>
              <w:rPr>
                <w:rFonts w:ascii="Times New Roman" w:hAnsi="Times New Roman" w:cs="Times New Roman" w:eastAsia="Times New Roman"/>
                <w:sz w:val="14"/>
                <w:b w:val="off"/>
                <w:i w:val="off"/>
                <w:strike w:val="off"/>
              </w:rPr>
              <w:t>0,00</w:t>
            </w:r>
          </w:p>
        </w:tc>
        <w:tc>
          <w:tcPr>
            <w:tcW w:type="pct" w:w="200"/>
            <w:vMerge w:val="restart"/>
            <w:vAlign w:val="center"/>
          </w:tcPr>
          <w:p>
            <w:pPr>
              <w:spacing w:after="0"/>
              <w:jc w:val="center"/>
            </w:pPr>
            <w:r>
              <w:rPr>
                <w:rFonts w:ascii="Times New Roman" w:hAnsi="Times New Roman" w:cs="Times New Roman" w:eastAsia="Times New Roman"/>
                <w:sz w:val="14"/>
                <w:b w:val="off"/>
                <w:i w:val="off"/>
                <w:strike w:val="off"/>
              </w:rPr>
              <w:t>Нет</w:t>
            </w:r>
          </w:p>
        </w:tc>
        <w:tc>
          <w:tcPr>
            <w:tcW w:type="pct" w:w="335"/>
            <w:vMerge w:val="restart"/>
            <w:vAlign w:val="center"/>
          </w:tcPr>
          <w:p>
            <w:pPr>
              <w:spacing w:after="0"/>
              <w:jc w:val="center"/>
            </w:pPr>
            <w:r>
              <w:rPr>
                <w:rFonts w:ascii="Times New Roman" w:hAnsi="Times New Roman" w:cs="Times New Roman" w:eastAsia="Times New Roman"/>
                <w:sz w:val="14"/>
                <w:b w:val="off"/>
                <w:i w:val="off"/>
                <w:strike w:val="off"/>
              </w:rPr>
              <w:t>-</w:t>
            </w:r>
          </w:p>
        </w:tc>
        <w:tc>
          <w:tcPr>
            <w:tcW w:type="pct" w:w="335"/>
            <w:vMerge w:val="restart"/>
            <w:vAlign w:val="center"/>
          </w:tcPr>
          <w:p>
            <w:pPr>
              <w:spacing w:after="0"/>
              <w:jc w:val="center"/>
            </w:pPr>
            <w:r>
              <w:rPr>
                <w:rFonts w:ascii="Times New Roman" w:hAnsi="Times New Roman" w:cs="Times New Roman" w:eastAsia="Times New Roman"/>
                <w:sz w:val="14"/>
                <w:b w:val="off"/>
                <w:i w:val="off"/>
                <w:strike w:val="off"/>
              </w:rPr>
              <w:t>-</w:t>
            </w:r>
          </w:p>
        </w:tc>
      </w:tr>
      <w:tr>
        <w:trPr>
          <w:cantSplit w:val="on"/>
        </w:trPr>
        <w:tc>
          <w:tcPr>
            <w:tcW w:type="pct" w:w="105"/>
            <w:vMerge w:val="continue"/>
          </w:tcPr>
          <w:p/>
        </w:tc>
        <w:tc>
          <w:tcPr>
            <w:tcW w:type="pct" w:w="400"/>
            <w:vMerge w:val="continue"/>
          </w:tcPr>
          <w:p/>
        </w:tc>
        <w:tc>
          <w:tcPr>
            <w:tcW w:type="pct" w:w="330"/>
            <w:vAlign w:val="center"/>
          </w:tcPr>
          <w:p>
            <w:pPr>
              <w:spacing w:after="0"/>
              <w:jc w:val="center"/>
            </w:pPr>
            <w:r>
              <w:rPr>
                <w:rFonts w:ascii="Times New Roman" w:hAnsi="Times New Roman" w:cs="Times New Roman" w:eastAsia="Times New Roman"/>
                <w:sz w:val="14"/>
                <w:b w:val="off"/>
                <w:i w:val="off"/>
                <w:strike w:val="off"/>
              </w:rPr>
              <w:t>33.20</w:t>
            </w:r>
          </w:p>
        </w:tc>
        <w:tc>
          <w:tcPr>
            <w:tcW w:type="pct" w:w="445"/>
            <w:vAlign w:val="center"/>
          </w:tcPr>
          <w:p>
            <w:pPr>
              <w:spacing w:after="0"/>
              <w:jc w:val="center"/>
            </w:pPr>
            <w:r>
              <w:rPr>
                <w:rFonts w:ascii="Times New Roman" w:hAnsi="Times New Roman" w:cs="Times New Roman" w:eastAsia="Times New Roman"/>
                <w:sz w:val="14"/>
                <w:b w:val="off"/>
                <w:i w:val="off"/>
                <w:strike w:val="off"/>
              </w:rPr>
              <w:t>Услуги по монтажу промышленных машин и оборудования</w:t>
            </w:r>
          </w:p>
        </w:tc>
        <w:tc>
          <w:tcPr>
            <w:tcW w:type="pct" w:w="300"/>
            <w:vMerge w:val="continue"/>
          </w:tcPr>
          <w:p/>
        </w:tc>
        <w:tc>
          <w:tcPr>
            <w:tcW w:type="pct" w:w="225"/>
            <w:vMerge w:val="continue"/>
          </w:tcPr>
          <w:p/>
        </w:tc>
        <w:tc>
          <w:tcPr>
            <w:tcW w:type="pct" w:w="475"/>
            <w:vMerge w:val="continue"/>
          </w:tcPr>
          <w:p/>
        </w:tc>
        <w:tc>
          <w:tcPr>
            <w:tcW w:type="pct" w:w="475"/>
            <w:vMerge w:val="continue"/>
          </w:tcPr>
          <w:p/>
        </w:tc>
        <w:tc>
          <w:tcPr>
            <w:tcW w:type="pct" w:w="475"/>
            <w:vMerge w:val="continue"/>
          </w:tcPr>
          <w:p/>
        </w:tc>
        <w:tc>
          <w:tcPr>
            <w:tcW w:type="pct" w:w="475"/>
            <w:vMerge w:val="continue"/>
          </w:tcPr>
          <w:p/>
        </w:tc>
        <w:tc>
          <w:tcPr>
            <w:tcW w:type="pct" w:w="475"/>
            <w:vMerge w:val="continue"/>
          </w:tcPr>
          <w:p/>
        </w:tc>
        <w:tc>
          <w:tcPr>
            <w:tcW w:type="pct" w:w="200"/>
            <w:vMerge w:val="continue"/>
          </w:tcPr>
          <w:p/>
        </w:tc>
        <w:tc>
          <w:tcPr>
            <w:tcW w:type="pct" w:w="335"/>
            <w:vMerge w:val="continue"/>
          </w:tcPr>
          <w:p/>
        </w:tc>
        <w:tc>
          <w:tcPr>
            <w:tcW w:type="pct" w:w="335"/>
            <w:vMerge w:val="continue"/>
          </w:tcPr>
          <w:p/>
        </w:tc>
      </w:tr>
      <w:tr>
        <w:trPr>
          <w:cantSplit w:val="on"/>
        </w:trPr>
        <w:tc>
          <w:tcPr>
            <w:tcW w:type="pct" w:w="105"/>
            <w:vMerge w:val="continue"/>
          </w:tcPr>
          <w:p/>
        </w:tc>
        <w:tc>
          <w:tcPr>
            <w:tcW w:type="pct" w:w="400"/>
            <w:vMerge w:val="continue"/>
          </w:tcPr>
          <w:p/>
        </w:tc>
        <w:tc>
          <w:tcPr>
            <w:tcW w:type="pct" w:w="330"/>
            <w:vAlign w:val="center"/>
          </w:tcPr>
          <w:p>
            <w:pPr>
              <w:spacing w:after="0"/>
              <w:jc w:val="center"/>
            </w:pPr>
            <w:r>
              <w:rPr>
                <w:rFonts w:ascii="Times New Roman" w:hAnsi="Times New Roman" w:cs="Times New Roman" w:eastAsia="Times New Roman"/>
                <w:sz w:val="14"/>
                <w:b w:val="off"/>
                <w:i w:val="off"/>
                <w:strike w:val="off"/>
              </w:rPr>
              <w:t>53.10</w:t>
            </w:r>
          </w:p>
        </w:tc>
        <w:tc>
          <w:tcPr>
            <w:tcW w:type="pct" w:w="445"/>
            <w:vAlign w:val="center"/>
          </w:tcPr>
          <w:p>
            <w:pPr>
              <w:spacing w:after="0"/>
              <w:jc w:val="center"/>
            </w:pPr>
            <w:r>
              <w:rPr>
                <w:rFonts w:ascii="Times New Roman" w:hAnsi="Times New Roman" w:cs="Times New Roman" w:eastAsia="Times New Roman"/>
                <w:sz w:val="14"/>
                <w:b w:val="off"/>
                <w:i w:val="off"/>
                <w:strike w:val="off"/>
              </w:rPr>
              <w:t>Услуги почтовой связи общего пользования</w:t>
            </w:r>
          </w:p>
        </w:tc>
        <w:tc>
          <w:tcPr>
            <w:tcW w:type="pct" w:w="300"/>
            <w:vMerge w:val="continue"/>
          </w:tcPr>
          <w:p/>
        </w:tc>
        <w:tc>
          <w:tcPr>
            <w:tcW w:type="pct" w:w="225"/>
            <w:vMerge w:val="continue"/>
          </w:tcPr>
          <w:p/>
        </w:tc>
        <w:tc>
          <w:tcPr>
            <w:tcW w:type="pct" w:w="475"/>
            <w:vMerge w:val="continue"/>
          </w:tcPr>
          <w:p/>
        </w:tc>
        <w:tc>
          <w:tcPr>
            <w:tcW w:type="pct" w:w="475"/>
            <w:vMerge w:val="continue"/>
          </w:tcPr>
          <w:p/>
        </w:tc>
        <w:tc>
          <w:tcPr>
            <w:tcW w:type="pct" w:w="475"/>
            <w:vMerge w:val="continue"/>
          </w:tcPr>
          <w:p/>
        </w:tc>
        <w:tc>
          <w:tcPr>
            <w:tcW w:type="pct" w:w="475"/>
            <w:vMerge w:val="continue"/>
          </w:tcPr>
          <w:p/>
        </w:tc>
        <w:tc>
          <w:tcPr>
            <w:tcW w:type="pct" w:w="475"/>
            <w:vMerge w:val="continue"/>
          </w:tcPr>
          <w:p/>
        </w:tc>
        <w:tc>
          <w:tcPr>
            <w:tcW w:type="pct" w:w="200"/>
            <w:vMerge w:val="continue"/>
          </w:tcPr>
          <w:p/>
        </w:tc>
        <w:tc>
          <w:tcPr>
            <w:tcW w:type="pct" w:w="335"/>
            <w:vMerge w:val="continue"/>
          </w:tcPr>
          <w:p/>
        </w:tc>
        <w:tc>
          <w:tcPr>
            <w:tcW w:type="pct" w:w="335"/>
            <w:vMerge w:val="continue"/>
          </w:tcPr>
          <w:p/>
        </w:tc>
      </w:tr>
      <w:tr>
        <w:trPr>
          <w:cantSplit w:val="on"/>
        </w:trPr>
        <w:tc>
          <w:tcPr>
            <w:tcW w:type="pct" w:w="105"/>
            <w:vMerge w:val="continue"/>
          </w:tcPr>
          <w:p/>
        </w:tc>
        <w:tc>
          <w:tcPr>
            <w:tcW w:type="pct" w:w="400"/>
            <w:vMerge w:val="continue"/>
          </w:tcPr>
          <w:p/>
        </w:tc>
        <w:tc>
          <w:tcPr>
            <w:tcW w:type="pct" w:w="330"/>
            <w:vAlign w:val="center"/>
          </w:tcPr>
          <w:p>
            <w:pPr>
              <w:spacing w:after="0"/>
              <w:jc w:val="center"/>
            </w:pPr>
            <w:r>
              <w:rPr>
                <w:rFonts w:ascii="Times New Roman" w:hAnsi="Times New Roman" w:cs="Times New Roman" w:eastAsia="Times New Roman"/>
                <w:sz w:val="14"/>
                <w:b w:val="off"/>
                <w:i w:val="off"/>
                <w:strike w:val="off"/>
              </w:rPr>
              <w:t>53.20</w:t>
            </w:r>
          </w:p>
        </w:tc>
        <w:tc>
          <w:tcPr>
            <w:tcW w:type="pct" w:w="445"/>
            <w:vAlign w:val="center"/>
          </w:tcPr>
          <w:p>
            <w:pPr>
              <w:spacing w:after="0"/>
              <w:jc w:val="center"/>
            </w:pPr>
            <w:r>
              <w:rPr>
                <w:rFonts w:ascii="Times New Roman" w:hAnsi="Times New Roman" w:cs="Times New Roman" w:eastAsia="Times New Roman"/>
                <w:sz w:val="14"/>
                <w:b w:val="off"/>
                <w:i w:val="off"/>
                <w:strike w:val="off"/>
              </w:rPr>
              <w:t>Услуги почтовой связи прочие и услуги курьерские</w:t>
            </w:r>
          </w:p>
        </w:tc>
        <w:tc>
          <w:tcPr>
            <w:tcW w:type="pct" w:w="300"/>
            <w:vMerge w:val="continue"/>
          </w:tcPr>
          <w:p/>
        </w:tc>
        <w:tc>
          <w:tcPr>
            <w:tcW w:type="pct" w:w="225"/>
            <w:vMerge w:val="continue"/>
          </w:tcPr>
          <w:p/>
        </w:tc>
        <w:tc>
          <w:tcPr>
            <w:tcW w:type="pct" w:w="475"/>
            <w:vMerge w:val="continue"/>
          </w:tcPr>
          <w:p/>
        </w:tc>
        <w:tc>
          <w:tcPr>
            <w:tcW w:type="pct" w:w="475"/>
            <w:vMerge w:val="continue"/>
          </w:tcPr>
          <w:p/>
        </w:tc>
        <w:tc>
          <w:tcPr>
            <w:tcW w:type="pct" w:w="475"/>
            <w:vMerge w:val="continue"/>
          </w:tcPr>
          <w:p/>
        </w:tc>
        <w:tc>
          <w:tcPr>
            <w:tcW w:type="pct" w:w="475"/>
            <w:vMerge w:val="continue"/>
          </w:tcPr>
          <w:p/>
        </w:tc>
        <w:tc>
          <w:tcPr>
            <w:tcW w:type="pct" w:w="475"/>
            <w:vMerge w:val="continue"/>
          </w:tcPr>
          <w:p/>
        </w:tc>
        <w:tc>
          <w:tcPr>
            <w:tcW w:type="pct" w:w="200"/>
            <w:vMerge w:val="continue"/>
          </w:tcPr>
          <w:p/>
        </w:tc>
        <w:tc>
          <w:tcPr>
            <w:tcW w:type="pct" w:w="335"/>
            <w:vMerge w:val="continue"/>
          </w:tcPr>
          <w:p/>
        </w:tc>
        <w:tc>
          <w:tcPr>
            <w:tcW w:type="pct" w:w="335"/>
            <w:vMerge w:val="continue"/>
          </w:tcPr>
          <w:p/>
        </w:tc>
      </w:tr>
      <w:tr>
        <w:trPr>
          <w:cantSplit w:val="on"/>
        </w:trPr>
        <w:tc>
          <w:tcPr>
            <w:tcW w:type="pct" w:w="105"/>
            <w:vMerge w:val="continue"/>
          </w:tcPr>
          <w:p/>
        </w:tc>
        <w:tc>
          <w:tcPr>
            <w:tcW w:type="pct" w:w="400"/>
            <w:vMerge w:val="continue"/>
          </w:tcPr>
          <w:p/>
        </w:tc>
        <w:tc>
          <w:tcPr>
            <w:tcW w:type="pct" w:w="330"/>
            <w:vAlign w:val="center"/>
          </w:tcPr>
          <w:p>
            <w:pPr>
              <w:spacing w:after="0"/>
              <w:jc w:val="center"/>
            </w:pPr>
            <w:r>
              <w:rPr>
                <w:rFonts w:ascii="Times New Roman" w:hAnsi="Times New Roman" w:cs="Times New Roman" w:eastAsia="Times New Roman"/>
                <w:sz w:val="14"/>
                <w:b w:val="off"/>
                <w:i w:val="off"/>
                <w:strike w:val="off"/>
              </w:rPr>
              <w:t>58.13</w:t>
            </w:r>
          </w:p>
        </w:tc>
        <w:tc>
          <w:tcPr>
            <w:tcW w:type="pct" w:w="445"/>
            <w:vAlign w:val="center"/>
          </w:tcPr>
          <w:p>
            <w:pPr>
              <w:spacing w:after="0"/>
              <w:jc w:val="center"/>
            </w:pPr>
            <w:r>
              <w:rPr>
                <w:rFonts w:ascii="Times New Roman" w:hAnsi="Times New Roman" w:cs="Times New Roman" w:eastAsia="Times New Roman"/>
                <w:sz w:val="14"/>
                <w:b w:val="off"/>
                <w:i w:val="off"/>
                <w:strike w:val="off"/>
              </w:rPr>
              <w:t>Услуги по изданию газет</w:t>
            </w:r>
          </w:p>
        </w:tc>
        <w:tc>
          <w:tcPr>
            <w:tcW w:type="pct" w:w="300"/>
            <w:vMerge w:val="continue"/>
          </w:tcPr>
          <w:p/>
        </w:tc>
        <w:tc>
          <w:tcPr>
            <w:tcW w:type="pct" w:w="225"/>
            <w:vMerge w:val="continue"/>
          </w:tcPr>
          <w:p/>
        </w:tc>
        <w:tc>
          <w:tcPr>
            <w:tcW w:type="pct" w:w="475"/>
            <w:vMerge w:val="continue"/>
          </w:tcPr>
          <w:p/>
        </w:tc>
        <w:tc>
          <w:tcPr>
            <w:tcW w:type="pct" w:w="475"/>
            <w:vMerge w:val="continue"/>
          </w:tcPr>
          <w:p/>
        </w:tc>
        <w:tc>
          <w:tcPr>
            <w:tcW w:type="pct" w:w="475"/>
            <w:vMerge w:val="continue"/>
          </w:tcPr>
          <w:p/>
        </w:tc>
        <w:tc>
          <w:tcPr>
            <w:tcW w:type="pct" w:w="475"/>
            <w:vMerge w:val="continue"/>
          </w:tcPr>
          <w:p/>
        </w:tc>
        <w:tc>
          <w:tcPr>
            <w:tcW w:type="pct" w:w="475"/>
            <w:vMerge w:val="continue"/>
          </w:tcPr>
          <w:p/>
        </w:tc>
        <w:tc>
          <w:tcPr>
            <w:tcW w:type="pct" w:w="200"/>
            <w:vMerge w:val="continue"/>
          </w:tcPr>
          <w:p/>
        </w:tc>
        <w:tc>
          <w:tcPr>
            <w:tcW w:type="pct" w:w="335"/>
            <w:vMerge w:val="continue"/>
          </w:tcPr>
          <w:p/>
        </w:tc>
        <w:tc>
          <w:tcPr>
            <w:tcW w:type="pct" w:w="335"/>
            <w:vMerge w:val="continue"/>
          </w:tcPr>
          <w:p/>
        </w:tc>
      </w:tr>
      <w:tr>
        <w:trPr>
          <w:cantSplit w:val="on"/>
        </w:trPr>
        <w:tc>
          <w:tcPr>
            <w:tcW w:type="pct" w:w="105"/>
            <w:vMerge w:val="continue"/>
          </w:tcPr>
          <w:p/>
        </w:tc>
        <w:tc>
          <w:tcPr>
            <w:tcW w:type="pct" w:w="400"/>
            <w:vMerge w:val="continue"/>
          </w:tcPr>
          <w:p/>
        </w:tc>
        <w:tc>
          <w:tcPr>
            <w:tcW w:type="pct" w:w="330"/>
            <w:vAlign w:val="center"/>
          </w:tcPr>
          <w:p>
            <w:pPr>
              <w:spacing w:after="0"/>
              <w:jc w:val="center"/>
            </w:pPr>
            <w:r>
              <w:rPr>
                <w:rFonts w:ascii="Times New Roman" w:hAnsi="Times New Roman" w:cs="Times New Roman" w:eastAsia="Times New Roman"/>
                <w:sz w:val="14"/>
                <w:b w:val="off"/>
                <w:i w:val="off"/>
                <w:strike w:val="off"/>
              </w:rPr>
              <w:t>58.14</w:t>
            </w:r>
          </w:p>
        </w:tc>
        <w:tc>
          <w:tcPr>
            <w:tcW w:type="pct" w:w="445"/>
            <w:vAlign w:val="center"/>
          </w:tcPr>
          <w:p>
            <w:pPr>
              <w:spacing w:after="0"/>
              <w:jc w:val="center"/>
            </w:pPr>
            <w:r>
              <w:rPr>
                <w:rFonts w:ascii="Times New Roman" w:hAnsi="Times New Roman" w:cs="Times New Roman" w:eastAsia="Times New Roman"/>
                <w:sz w:val="14"/>
                <w:b w:val="off"/>
                <w:i w:val="off"/>
                <w:strike w:val="off"/>
              </w:rPr>
              <w:t>Услуги по изданию журналов и периодических изданий</w:t>
            </w:r>
          </w:p>
        </w:tc>
        <w:tc>
          <w:tcPr>
            <w:tcW w:type="pct" w:w="300"/>
            <w:vMerge w:val="continue"/>
          </w:tcPr>
          <w:p/>
        </w:tc>
        <w:tc>
          <w:tcPr>
            <w:tcW w:type="pct" w:w="225"/>
            <w:vMerge w:val="continue"/>
          </w:tcPr>
          <w:p/>
        </w:tc>
        <w:tc>
          <w:tcPr>
            <w:tcW w:type="pct" w:w="475"/>
            <w:vMerge w:val="continue"/>
          </w:tcPr>
          <w:p/>
        </w:tc>
        <w:tc>
          <w:tcPr>
            <w:tcW w:type="pct" w:w="475"/>
            <w:vMerge w:val="continue"/>
          </w:tcPr>
          <w:p/>
        </w:tc>
        <w:tc>
          <w:tcPr>
            <w:tcW w:type="pct" w:w="475"/>
            <w:vMerge w:val="continue"/>
          </w:tcPr>
          <w:p/>
        </w:tc>
        <w:tc>
          <w:tcPr>
            <w:tcW w:type="pct" w:w="475"/>
            <w:vMerge w:val="continue"/>
          </w:tcPr>
          <w:p/>
        </w:tc>
        <w:tc>
          <w:tcPr>
            <w:tcW w:type="pct" w:w="475"/>
            <w:vMerge w:val="continue"/>
          </w:tcPr>
          <w:p/>
        </w:tc>
        <w:tc>
          <w:tcPr>
            <w:tcW w:type="pct" w:w="200"/>
            <w:vMerge w:val="continue"/>
          </w:tcPr>
          <w:p/>
        </w:tc>
        <w:tc>
          <w:tcPr>
            <w:tcW w:type="pct" w:w="335"/>
            <w:vMerge w:val="continue"/>
          </w:tcPr>
          <w:p/>
        </w:tc>
        <w:tc>
          <w:tcPr>
            <w:tcW w:type="pct" w:w="335"/>
            <w:vMerge w:val="continue"/>
          </w:tcPr>
          <w:p/>
        </w:tc>
      </w:tr>
      <w:tr>
        <w:trPr>
          <w:cantSplit w:val="on"/>
        </w:trPr>
        <w:tc>
          <w:tcPr>
            <w:tcW w:type="pct" w:w="105"/>
            <w:vMerge w:val="continue"/>
          </w:tcPr>
          <w:p/>
        </w:tc>
        <w:tc>
          <w:tcPr>
            <w:tcW w:type="pct" w:w="400"/>
            <w:vMerge w:val="continue"/>
          </w:tcPr>
          <w:p/>
        </w:tc>
        <w:tc>
          <w:tcPr>
            <w:tcW w:type="pct" w:w="330"/>
            <w:vAlign w:val="center"/>
          </w:tcPr>
          <w:p>
            <w:pPr>
              <w:spacing w:after="0"/>
              <w:jc w:val="center"/>
            </w:pPr>
            <w:r>
              <w:rPr>
                <w:rFonts w:ascii="Times New Roman" w:hAnsi="Times New Roman" w:cs="Times New Roman" w:eastAsia="Times New Roman"/>
                <w:sz w:val="14"/>
                <w:b w:val="off"/>
                <w:i w:val="off"/>
                <w:strike w:val="off"/>
              </w:rPr>
              <w:t>60.10</w:t>
            </w:r>
          </w:p>
        </w:tc>
        <w:tc>
          <w:tcPr>
            <w:tcW w:type="pct" w:w="445"/>
            <w:vAlign w:val="center"/>
          </w:tcPr>
          <w:p>
            <w:pPr>
              <w:spacing w:after="0"/>
              <w:jc w:val="center"/>
            </w:pPr>
            <w:r>
              <w:rPr>
                <w:rFonts w:ascii="Times New Roman" w:hAnsi="Times New Roman" w:cs="Times New Roman" w:eastAsia="Times New Roman"/>
                <w:sz w:val="14"/>
                <w:b w:val="off"/>
                <w:i w:val="off"/>
                <w:strike w:val="off"/>
              </w:rPr>
              <w:t>Услуги в области радиовещания</w:t>
            </w:r>
          </w:p>
        </w:tc>
        <w:tc>
          <w:tcPr>
            <w:tcW w:type="pct" w:w="300"/>
            <w:vMerge w:val="continue"/>
          </w:tcPr>
          <w:p/>
        </w:tc>
        <w:tc>
          <w:tcPr>
            <w:tcW w:type="pct" w:w="225"/>
            <w:vMerge w:val="continue"/>
          </w:tcPr>
          <w:p/>
        </w:tc>
        <w:tc>
          <w:tcPr>
            <w:tcW w:type="pct" w:w="475"/>
            <w:vMerge w:val="continue"/>
          </w:tcPr>
          <w:p/>
        </w:tc>
        <w:tc>
          <w:tcPr>
            <w:tcW w:type="pct" w:w="475"/>
            <w:vMerge w:val="continue"/>
          </w:tcPr>
          <w:p/>
        </w:tc>
        <w:tc>
          <w:tcPr>
            <w:tcW w:type="pct" w:w="475"/>
            <w:vMerge w:val="continue"/>
          </w:tcPr>
          <w:p/>
        </w:tc>
        <w:tc>
          <w:tcPr>
            <w:tcW w:type="pct" w:w="475"/>
            <w:vMerge w:val="continue"/>
          </w:tcPr>
          <w:p/>
        </w:tc>
        <w:tc>
          <w:tcPr>
            <w:tcW w:type="pct" w:w="475"/>
            <w:vMerge w:val="continue"/>
          </w:tcPr>
          <w:p/>
        </w:tc>
        <w:tc>
          <w:tcPr>
            <w:tcW w:type="pct" w:w="200"/>
            <w:vMerge w:val="continue"/>
          </w:tcPr>
          <w:p/>
        </w:tc>
        <w:tc>
          <w:tcPr>
            <w:tcW w:type="pct" w:w="335"/>
            <w:vMerge w:val="continue"/>
          </w:tcPr>
          <w:p/>
        </w:tc>
        <w:tc>
          <w:tcPr>
            <w:tcW w:type="pct" w:w="335"/>
            <w:vMerge w:val="continue"/>
          </w:tcPr>
          <w:p/>
        </w:tc>
      </w:tr>
      <w:tr>
        <w:trPr>
          <w:cantSplit w:val="on"/>
        </w:trPr>
        <w:tc>
          <w:tcPr>
            <w:tcW w:type="pct" w:w="105"/>
            <w:vMerge w:val="continue"/>
          </w:tcPr>
          <w:p/>
        </w:tc>
        <w:tc>
          <w:tcPr>
            <w:tcW w:type="pct" w:w="400"/>
            <w:vMerge w:val="continue"/>
          </w:tcPr>
          <w:p/>
        </w:tc>
        <w:tc>
          <w:tcPr>
            <w:tcW w:type="pct" w:w="330"/>
            <w:vAlign w:val="center"/>
          </w:tcPr>
          <w:p>
            <w:pPr>
              <w:spacing w:after="0"/>
              <w:jc w:val="center"/>
            </w:pPr>
            <w:r>
              <w:rPr>
                <w:rFonts w:ascii="Times New Roman" w:hAnsi="Times New Roman" w:cs="Times New Roman" w:eastAsia="Times New Roman"/>
                <w:sz w:val="14"/>
                <w:b w:val="off"/>
                <w:i w:val="off"/>
                <w:strike w:val="off"/>
              </w:rPr>
              <w:t>61.10</w:t>
            </w:r>
          </w:p>
        </w:tc>
        <w:tc>
          <w:tcPr>
            <w:tcW w:type="pct" w:w="445"/>
            <w:vAlign w:val="center"/>
          </w:tcPr>
          <w:p>
            <w:pPr>
              <w:spacing w:after="0"/>
              <w:jc w:val="center"/>
            </w:pPr>
            <w:r>
              <w:rPr>
                <w:rFonts w:ascii="Times New Roman" w:hAnsi="Times New Roman" w:cs="Times New Roman" w:eastAsia="Times New Roman"/>
                <w:sz w:val="14"/>
                <w:b w:val="off"/>
                <w:i w:val="off"/>
                <w:strike w:val="off"/>
              </w:rPr>
              <w:t>Услуги телекоммуникационные проводные</w:t>
            </w:r>
          </w:p>
        </w:tc>
        <w:tc>
          <w:tcPr>
            <w:tcW w:type="pct" w:w="300"/>
            <w:vMerge w:val="continue"/>
          </w:tcPr>
          <w:p/>
        </w:tc>
        <w:tc>
          <w:tcPr>
            <w:tcW w:type="pct" w:w="225"/>
            <w:vMerge w:val="continue"/>
          </w:tcPr>
          <w:p/>
        </w:tc>
        <w:tc>
          <w:tcPr>
            <w:tcW w:type="pct" w:w="475"/>
            <w:vMerge w:val="continue"/>
          </w:tcPr>
          <w:p/>
        </w:tc>
        <w:tc>
          <w:tcPr>
            <w:tcW w:type="pct" w:w="475"/>
            <w:vMerge w:val="continue"/>
          </w:tcPr>
          <w:p/>
        </w:tc>
        <w:tc>
          <w:tcPr>
            <w:tcW w:type="pct" w:w="475"/>
            <w:vMerge w:val="continue"/>
          </w:tcPr>
          <w:p/>
        </w:tc>
        <w:tc>
          <w:tcPr>
            <w:tcW w:type="pct" w:w="475"/>
            <w:vMerge w:val="continue"/>
          </w:tcPr>
          <w:p/>
        </w:tc>
        <w:tc>
          <w:tcPr>
            <w:tcW w:type="pct" w:w="475"/>
            <w:vMerge w:val="continue"/>
          </w:tcPr>
          <w:p/>
        </w:tc>
        <w:tc>
          <w:tcPr>
            <w:tcW w:type="pct" w:w="200"/>
            <w:vMerge w:val="continue"/>
          </w:tcPr>
          <w:p/>
        </w:tc>
        <w:tc>
          <w:tcPr>
            <w:tcW w:type="pct" w:w="335"/>
            <w:vMerge w:val="continue"/>
          </w:tcPr>
          <w:p/>
        </w:tc>
        <w:tc>
          <w:tcPr>
            <w:tcW w:type="pct" w:w="335"/>
            <w:vMerge w:val="continue"/>
          </w:tcPr>
          <w:p/>
        </w:tc>
      </w:tr>
      <w:tr>
        <w:trPr>
          <w:cantSplit w:val="on"/>
        </w:trPr>
        <w:tc>
          <w:tcPr>
            <w:tcW w:type="pct" w:w="105"/>
            <w:vMerge w:val="continue"/>
          </w:tcPr>
          <w:p/>
        </w:tc>
        <w:tc>
          <w:tcPr>
            <w:tcW w:type="pct" w:w="400"/>
            <w:vMerge w:val="continue"/>
          </w:tcPr>
          <w:p/>
        </w:tc>
        <w:tc>
          <w:tcPr>
            <w:tcW w:type="pct" w:w="330"/>
            <w:vAlign w:val="center"/>
          </w:tcPr>
          <w:p>
            <w:pPr>
              <w:spacing w:after="0"/>
              <w:jc w:val="center"/>
            </w:pPr>
            <w:r>
              <w:rPr>
                <w:rFonts w:ascii="Times New Roman" w:hAnsi="Times New Roman" w:cs="Times New Roman" w:eastAsia="Times New Roman"/>
                <w:sz w:val="14"/>
                <w:b w:val="off"/>
                <w:i w:val="off"/>
                <w:strike w:val="off"/>
              </w:rPr>
              <w:t>61.20</w:t>
            </w:r>
          </w:p>
        </w:tc>
        <w:tc>
          <w:tcPr>
            <w:tcW w:type="pct" w:w="445"/>
            <w:vAlign w:val="center"/>
          </w:tcPr>
          <w:p>
            <w:pPr>
              <w:spacing w:after="0"/>
              <w:jc w:val="center"/>
            </w:pPr>
            <w:r>
              <w:rPr>
                <w:rFonts w:ascii="Times New Roman" w:hAnsi="Times New Roman" w:cs="Times New Roman" w:eastAsia="Times New Roman"/>
                <w:sz w:val="14"/>
                <w:b w:val="off"/>
                <w:i w:val="off"/>
                <w:strike w:val="off"/>
              </w:rPr>
              <w:t>Услуги телекоммуникационные беспроводные</w:t>
            </w:r>
          </w:p>
        </w:tc>
        <w:tc>
          <w:tcPr>
            <w:tcW w:type="pct" w:w="300"/>
            <w:vMerge w:val="continue"/>
          </w:tcPr>
          <w:p/>
        </w:tc>
        <w:tc>
          <w:tcPr>
            <w:tcW w:type="pct" w:w="225"/>
            <w:vMerge w:val="continue"/>
          </w:tcPr>
          <w:p/>
        </w:tc>
        <w:tc>
          <w:tcPr>
            <w:tcW w:type="pct" w:w="475"/>
            <w:vMerge w:val="continue"/>
          </w:tcPr>
          <w:p/>
        </w:tc>
        <w:tc>
          <w:tcPr>
            <w:tcW w:type="pct" w:w="475"/>
            <w:vMerge w:val="continue"/>
          </w:tcPr>
          <w:p/>
        </w:tc>
        <w:tc>
          <w:tcPr>
            <w:tcW w:type="pct" w:w="475"/>
            <w:vMerge w:val="continue"/>
          </w:tcPr>
          <w:p/>
        </w:tc>
        <w:tc>
          <w:tcPr>
            <w:tcW w:type="pct" w:w="475"/>
            <w:vMerge w:val="continue"/>
          </w:tcPr>
          <w:p/>
        </w:tc>
        <w:tc>
          <w:tcPr>
            <w:tcW w:type="pct" w:w="475"/>
            <w:vMerge w:val="continue"/>
          </w:tcPr>
          <w:p/>
        </w:tc>
        <w:tc>
          <w:tcPr>
            <w:tcW w:type="pct" w:w="200"/>
            <w:vMerge w:val="continue"/>
          </w:tcPr>
          <w:p/>
        </w:tc>
        <w:tc>
          <w:tcPr>
            <w:tcW w:type="pct" w:w="335"/>
            <w:vMerge w:val="continue"/>
          </w:tcPr>
          <w:p/>
        </w:tc>
        <w:tc>
          <w:tcPr>
            <w:tcW w:type="pct" w:w="335"/>
            <w:vMerge w:val="continue"/>
          </w:tcPr>
          <w:p/>
        </w:tc>
      </w:tr>
      <w:tr>
        <w:trPr>
          <w:cantSplit w:val="on"/>
        </w:trPr>
        <w:tc>
          <w:tcPr>
            <w:tcW w:type="pct" w:w="105"/>
            <w:vMerge w:val="continue"/>
          </w:tcPr>
          <w:p/>
        </w:tc>
        <w:tc>
          <w:tcPr>
            <w:tcW w:type="pct" w:w="400"/>
            <w:vMerge w:val="continue"/>
          </w:tcPr>
          <w:p/>
        </w:tc>
        <w:tc>
          <w:tcPr>
            <w:tcW w:type="pct" w:w="330"/>
            <w:vAlign w:val="center"/>
          </w:tcPr>
          <w:p>
            <w:pPr>
              <w:spacing w:after="0"/>
              <w:jc w:val="center"/>
            </w:pPr>
            <w:r>
              <w:rPr>
                <w:rFonts w:ascii="Times New Roman" w:hAnsi="Times New Roman" w:cs="Times New Roman" w:eastAsia="Times New Roman"/>
                <w:sz w:val="14"/>
                <w:b w:val="off"/>
                <w:i w:val="off"/>
                <w:strike w:val="off"/>
              </w:rPr>
              <w:t>61.30</w:t>
            </w:r>
          </w:p>
        </w:tc>
        <w:tc>
          <w:tcPr>
            <w:tcW w:type="pct" w:w="445"/>
            <w:vAlign w:val="center"/>
          </w:tcPr>
          <w:p>
            <w:pPr>
              <w:spacing w:after="0"/>
              <w:jc w:val="center"/>
            </w:pPr>
            <w:r>
              <w:rPr>
                <w:rFonts w:ascii="Times New Roman" w:hAnsi="Times New Roman" w:cs="Times New Roman" w:eastAsia="Times New Roman"/>
                <w:sz w:val="14"/>
                <w:b w:val="off"/>
                <w:i w:val="off"/>
                <w:strike w:val="off"/>
              </w:rPr>
              <w:t>Услуги спутниковой связи</w:t>
            </w:r>
          </w:p>
        </w:tc>
        <w:tc>
          <w:tcPr>
            <w:tcW w:type="pct" w:w="300"/>
            <w:vMerge w:val="continue"/>
          </w:tcPr>
          <w:p/>
        </w:tc>
        <w:tc>
          <w:tcPr>
            <w:tcW w:type="pct" w:w="225"/>
            <w:vMerge w:val="continue"/>
          </w:tcPr>
          <w:p/>
        </w:tc>
        <w:tc>
          <w:tcPr>
            <w:tcW w:type="pct" w:w="475"/>
            <w:vMerge w:val="continue"/>
          </w:tcPr>
          <w:p/>
        </w:tc>
        <w:tc>
          <w:tcPr>
            <w:tcW w:type="pct" w:w="475"/>
            <w:vMerge w:val="continue"/>
          </w:tcPr>
          <w:p/>
        </w:tc>
        <w:tc>
          <w:tcPr>
            <w:tcW w:type="pct" w:w="475"/>
            <w:vMerge w:val="continue"/>
          </w:tcPr>
          <w:p/>
        </w:tc>
        <w:tc>
          <w:tcPr>
            <w:tcW w:type="pct" w:w="475"/>
            <w:vMerge w:val="continue"/>
          </w:tcPr>
          <w:p/>
        </w:tc>
        <w:tc>
          <w:tcPr>
            <w:tcW w:type="pct" w:w="475"/>
            <w:vMerge w:val="continue"/>
          </w:tcPr>
          <w:p/>
        </w:tc>
        <w:tc>
          <w:tcPr>
            <w:tcW w:type="pct" w:w="200"/>
            <w:vMerge w:val="continue"/>
          </w:tcPr>
          <w:p/>
        </w:tc>
        <w:tc>
          <w:tcPr>
            <w:tcW w:type="pct" w:w="335"/>
            <w:vMerge w:val="continue"/>
          </w:tcPr>
          <w:p/>
        </w:tc>
        <w:tc>
          <w:tcPr>
            <w:tcW w:type="pct" w:w="335"/>
            <w:vMerge w:val="continue"/>
          </w:tcPr>
          <w:p/>
        </w:tc>
      </w:tr>
      <w:tr>
        <w:trPr>
          <w:cantSplit w:val="on"/>
        </w:trPr>
        <w:tc>
          <w:tcPr>
            <w:tcW w:type="pct" w:w="105"/>
            <w:vMerge w:val="continue"/>
          </w:tcPr>
          <w:p/>
        </w:tc>
        <w:tc>
          <w:tcPr>
            <w:tcW w:type="pct" w:w="400"/>
            <w:vMerge w:val="continue"/>
          </w:tcPr>
          <w:p/>
        </w:tc>
        <w:tc>
          <w:tcPr>
            <w:tcW w:type="pct" w:w="330"/>
            <w:vAlign w:val="center"/>
          </w:tcPr>
          <w:p>
            <w:pPr>
              <w:spacing w:after="0"/>
              <w:jc w:val="center"/>
            </w:pPr>
            <w:r>
              <w:rPr>
                <w:rFonts w:ascii="Times New Roman" w:hAnsi="Times New Roman" w:cs="Times New Roman" w:eastAsia="Times New Roman"/>
                <w:sz w:val="14"/>
                <w:b w:val="off"/>
                <w:i w:val="off"/>
                <w:strike w:val="off"/>
              </w:rPr>
              <w:t>61.90</w:t>
            </w:r>
          </w:p>
        </w:tc>
        <w:tc>
          <w:tcPr>
            <w:tcW w:type="pct" w:w="445"/>
            <w:vAlign w:val="center"/>
          </w:tcPr>
          <w:p>
            <w:pPr>
              <w:spacing w:after="0"/>
              <w:jc w:val="center"/>
            </w:pPr>
            <w:r>
              <w:rPr>
                <w:rFonts w:ascii="Times New Roman" w:hAnsi="Times New Roman" w:cs="Times New Roman" w:eastAsia="Times New Roman"/>
                <w:sz w:val="14"/>
                <w:b w:val="off"/>
                <w:i w:val="off"/>
                <w:strike w:val="off"/>
              </w:rPr>
              <w:t>Услуги телекоммуникационные прочие</w:t>
            </w:r>
          </w:p>
        </w:tc>
        <w:tc>
          <w:tcPr>
            <w:tcW w:type="pct" w:w="300"/>
            <w:vMerge w:val="continue"/>
          </w:tcPr>
          <w:p/>
        </w:tc>
        <w:tc>
          <w:tcPr>
            <w:tcW w:type="pct" w:w="225"/>
            <w:vMerge w:val="continue"/>
          </w:tcPr>
          <w:p/>
        </w:tc>
        <w:tc>
          <w:tcPr>
            <w:tcW w:type="pct" w:w="475"/>
            <w:vMerge w:val="continue"/>
          </w:tcPr>
          <w:p/>
        </w:tc>
        <w:tc>
          <w:tcPr>
            <w:tcW w:type="pct" w:w="475"/>
            <w:vMerge w:val="continue"/>
          </w:tcPr>
          <w:p/>
        </w:tc>
        <w:tc>
          <w:tcPr>
            <w:tcW w:type="pct" w:w="475"/>
            <w:vMerge w:val="continue"/>
          </w:tcPr>
          <w:p/>
        </w:tc>
        <w:tc>
          <w:tcPr>
            <w:tcW w:type="pct" w:w="475"/>
            <w:vMerge w:val="continue"/>
          </w:tcPr>
          <w:p/>
        </w:tc>
        <w:tc>
          <w:tcPr>
            <w:tcW w:type="pct" w:w="475"/>
            <w:vMerge w:val="continue"/>
          </w:tcPr>
          <w:p/>
        </w:tc>
        <w:tc>
          <w:tcPr>
            <w:tcW w:type="pct" w:w="200"/>
            <w:vMerge w:val="continue"/>
          </w:tcPr>
          <w:p/>
        </w:tc>
        <w:tc>
          <w:tcPr>
            <w:tcW w:type="pct" w:w="335"/>
            <w:vMerge w:val="continue"/>
          </w:tcPr>
          <w:p/>
        </w:tc>
        <w:tc>
          <w:tcPr>
            <w:tcW w:type="pct" w:w="335"/>
            <w:vMerge w:val="continue"/>
          </w:tcPr>
          <w:p/>
        </w:tc>
      </w:tr>
      <w:tr>
        <w:trPr>
          <w:cantSplit w:val="on"/>
        </w:trPr>
        <w:tc>
          <w:tcPr>
            <w:tcW w:type="pct" w:w="105"/>
            <w:vMerge w:val="continue"/>
          </w:tcPr>
          <w:p/>
        </w:tc>
        <w:tc>
          <w:tcPr>
            <w:tcW w:type="pct" w:w="400"/>
            <w:vMerge w:val="continue"/>
          </w:tcPr>
          <w:p/>
        </w:tc>
        <w:tc>
          <w:tcPr>
            <w:tcW w:type="pct" w:w="330"/>
            <w:vAlign w:val="center"/>
          </w:tcPr>
          <w:p>
            <w:pPr>
              <w:spacing w:after="0"/>
              <w:jc w:val="center"/>
            </w:pPr>
            <w:r>
              <w:rPr>
                <w:rFonts w:ascii="Times New Roman" w:hAnsi="Times New Roman" w:cs="Times New Roman" w:eastAsia="Times New Roman"/>
                <w:sz w:val="14"/>
                <w:b w:val="off"/>
                <w:i w:val="off"/>
                <w:strike w:val="off"/>
              </w:rPr>
              <w:t>62.02</w:t>
            </w:r>
          </w:p>
        </w:tc>
        <w:tc>
          <w:tcPr>
            <w:tcW w:type="pct" w:w="445"/>
            <w:vAlign w:val="center"/>
          </w:tcPr>
          <w:p>
            <w:pPr>
              <w:spacing w:after="0"/>
              <w:jc w:val="center"/>
            </w:pPr>
            <w:r>
              <w:rPr>
                <w:rFonts w:ascii="Times New Roman" w:hAnsi="Times New Roman" w:cs="Times New Roman" w:eastAsia="Times New Roman"/>
                <w:sz w:val="14"/>
                <w:b w:val="off"/>
                <w:i w:val="off"/>
                <w:strike w:val="off"/>
              </w:rPr>
              <w:t>Услуги консультативные, связанные с компьютерной техникой</w:t>
            </w:r>
          </w:p>
        </w:tc>
        <w:tc>
          <w:tcPr>
            <w:tcW w:type="pct" w:w="300"/>
            <w:vMerge w:val="continue"/>
          </w:tcPr>
          <w:p/>
        </w:tc>
        <w:tc>
          <w:tcPr>
            <w:tcW w:type="pct" w:w="225"/>
            <w:vMerge w:val="continue"/>
          </w:tcPr>
          <w:p/>
        </w:tc>
        <w:tc>
          <w:tcPr>
            <w:tcW w:type="pct" w:w="475"/>
            <w:vMerge w:val="continue"/>
          </w:tcPr>
          <w:p/>
        </w:tc>
        <w:tc>
          <w:tcPr>
            <w:tcW w:type="pct" w:w="475"/>
            <w:vMerge w:val="continue"/>
          </w:tcPr>
          <w:p/>
        </w:tc>
        <w:tc>
          <w:tcPr>
            <w:tcW w:type="pct" w:w="475"/>
            <w:vMerge w:val="continue"/>
          </w:tcPr>
          <w:p/>
        </w:tc>
        <w:tc>
          <w:tcPr>
            <w:tcW w:type="pct" w:w="475"/>
            <w:vMerge w:val="continue"/>
          </w:tcPr>
          <w:p/>
        </w:tc>
        <w:tc>
          <w:tcPr>
            <w:tcW w:type="pct" w:w="475"/>
            <w:vMerge w:val="continue"/>
          </w:tcPr>
          <w:p/>
        </w:tc>
        <w:tc>
          <w:tcPr>
            <w:tcW w:type="pct" w:w="200"/>
            <w:vMerge w:val="continue"/>
          </w:tcPr>
          <w:p/>
        </w:tc>
        <w:tc>
          <w:tcPr>
            <w:tcW w:type="pct" w:w="335"/>
            <w:vMerge w:val="continue"/>
          </w:tcPr>
          <w:p/>
        </w:tc>
        <w:tc>
          <w:tcPr>
            <w:tcW w:type="pct" w:w="335"/>
            <w:vMerge w:val="continue"/>
          </w:tcPr>
          <w:p/>
        </w:tc>
      </w:tr>
      <w:tr>
        <w:trPr>
          <w:cantSplit w:val="on"/>
        </w:trPr>
        <w:tc>
          <w:tcPr>
            <w:tcW w:type="pct" w:w="105"/>
            <w:vMerge w:val="continue"/>
          </w:tcPr>
          <w:p/>
        </w:tc>
        <w:tc>
          <w:tcPr>
            <w:tcW w:type="pct" w:w="400"/>
            <w:vMerge w:val="continue"/>
          </w:tcPr>
          <w:p/>
        </w:tc>
        <w:tc>
          <w:tcPr>
            <w:tcW w:type="pct" w:w="330"/>
            <w:vAlign w:val="center"/>
          </w:tcPr>
          <w:p>
            <w:pPr>
              <w:spacing w:after="0"/>
              <w:jc w:val="center"/>
            </w:pPr>
            <w:r>
              <w:rPr>
                <w:rFonts w:ascii="Times New Roman" w:hAnsi="Times New Roman" w:cs="Times New Roman" w:eastAsia="Times New Roman"/>
                <w:sz w:val="14"/>
                <w:b w:val="off"/>
                <w:i w:val="off"/>
                <w:strike w:val="off"/>
              </w:rPr>
              <w:t>63.11</w:t>
            </w:r>
          </w:p>
        </w:tc>
        <w:tc>
          <w:tcPr>
            <w:tcW w:type="pct" w:w="445"/>
            <w:vAlign w:val="center"/>
          </w:tcPr>
          <w:p>
            <w:pPr>
              <w:spacing w:after="0"/>
              <w:jc w:val="center"/>
            </w:pPr>
            <w:r>
              <w:rPr>
                <w:rFonts w:ascii="Times New Roman" w:hAnsi="Times New Roman" w:cs="Times New Roman" w:eastAsia="Times New Roman"/>
                <w:sz w:val="14"/>
                <w:b w:val="off"/>
                <w:i w:val="off"/>
                <w:strike w:val="off"/>
              </w:rPr>
              <w:t>Услуги по обработке данных, размещению и взаимосвязанные услуги</w:t>
            </w:r>
          </w:p>
        </w:tc>
        <w:tc>
          <w:tcPr>
            <w:tcW w:type="pct" w:w="300"/>
            <w:vMerge w:val="continue"/>
          </w:tcPr>
          <w:p/>
        </w:tc>
        <w:tc>
          <w:tcPr>
            <w:tcW w:type="pct" w:w="225"/>
            <w:vMerge w:val="continue"/>
          </w:tcPr>
          <w:p/>
        </w:tc>
        <w:tc>
          <w:tcPr>
            <w:tcW w:type="pct" w:w="475"/>
            <w:vMerge w:val="continue"/>
          </w:tcPr>
          <w:p/>
        </w:tc>
        <w:tc>
          <w:tcPr>
            <w:tcW w:type="pct" w:w="475"/>
            <w:vMerge w:val="continue"/>
          </w:tcPr>
          <w:p/>
        </w:tc>
        <w:tc>
          <w:tcPr>
            <w:tcW w:type="pct" w:w="475"/>
            <w:vMerge w:val="continue"/>
          </w:tcPr>
          <w:p/>
        </w:tc>
        <w:tc>
          <w:tcPr>
            <w:tcW w:type="pct" w:w="475"/>
            <w:vMerge w:val="continue"/>
          </w:tcPr>
          <w:p/>
        </w:tc>
        <w:tc>
          <w:tcPr>
            <w:tcW w:type="pct" w:w="475"/>
            <w:vMerge w:val="continue"/>
          </w:tcPr>
          <w:p/>
        </w:tc>
        <w:tc>
          <w:tcPr>
            <w:tcW w:type="pct" w:w="200"/>
            <w:vMerge w:val="continue"/>
          </w:tcPr>
          <w:p/>
        </w:tc>
        <w:tc>
          <w:tcPr>
            <w:tcW w:type="pct" w:w="335"/>
            <w:vMerge w:val="continue"/>
          </w:tcPr>
          <w:p/>
        </w:tc>
        <w:tc>
          <w:tcPr>
            <w:tcW w:type="pct" w:w="335"/>
            <w:vMerge w:val="continue"/>
          </w:tcPr>
          <w:p/>
        </w:tc>
      </w:tr>
      <w:tr>
        <w:trPr>
          <w:cantSplit w:val="on"/>
        </w:trPr>
        <w:tc>
          <w:tcPr>
            <w:tcW w:type="pct" w:w="105"/>
            <w:vMerge w:val="continue"/>
          </w:tcPr>
          <w:p/>
        </w:tc>
        <w:tc>
          <w:tcPr>
            <w:tcW w:type="pct" w:w="400"/>
            <w:vMerge w:val="continue"/>
          </w:tcPr>
          <w:p/>
        </w:tc>
        <w:tc>
          <w:tcPr>
            <w:tcW w:type="pct" w:w="330"/>
            <w:vAlign w:val="center"/>
          </w:tcPr>
          <w:p>
            <w:pPr>
              <w:spacing w:after="0"/>
              <w:jc w:val="center"/>
            </w:pPr>
            <w:r>
              <w:rPr>
                <w:rFonts w:ascii="Times New Roman" w:hAnsi="Times New Roman" w:cs="Times New Roman" w:eastAsia="Times New Roman"/>
                <w:sz w:val="14"/>
                <w:b w:val="off"/>
                <w:i w:val="off"/>
                <w:strike w:val="off"/>
              </w:rPr>
              <w:t>63.12</w:t>
            </w:r>
          </w:p>
        </w:tc>
        <w:tc>
          <w:tcPr>
            <w:tcW w:type="pct" w:w="445"/>
            <w:vAlign w:val="center"/>
          </w:tcPr>
          <w:p>
            <w:pPr>
              <w:spacing w:after="0"/>
              <w:jc w:val="center"/>
            </w:pPr>
            <w:r>
              <w:rPr>
                <w:rFonts w:ascii="Times New Roman" w:hAnsi="Times New Roman" w:cs="Times New Roman" w:eastAsia="Times New Roman"/>
                <w:sz w:val="14"/>
                <w:b w:val="off"/>
                <w:i w:val="off"/>
                <w:strike w:val="off"/>
              </w:rPr>
              <w:t>Содержание порталов в информационно-коммуникационной сети Интернет</w:t>
            </w:r>
          </w:p>
        </w:tc>
        <w:tc>
          <w:tcPr>
            <w:tcW w:type="pct" w:w="300"/>
            <w:vMerge w:val="continue"/>
          </w:tcPr>
          <w:p/>
        </w:tc>
        <w:tc>
          <w:tcPr>
            <w:tcW w:type="pct" w:w="225"/>
            <w:vMerge w:val="continue"/>
          </w:tcPr>
          <w:p/>
        </w:tc>
        <w:tc>
          <w:tcPr>
            <w:tcW w:type="pct" w:w="475"/>
            <w:vMerge w:val="continue"/>
          </w:tcPr>
          <w:p/>
        </w:tc>
        <w:tc>
          <w:tcPr>
            <w:tcW w:type="pct" w:w="475"/>
            <w:vMerge w:val="continue"/>
          </w:tcPr>
          <w:p/>
        </w:tc>
        <w:tc>
          <w:tcPr>
            <w:tcW w:type="pct" w:w="475"/>
            <w:vMerge w:val="continue"/>
          </w:tcPr>
          <w:p/>
        </w:tc>
        <w:tc>
          <w:tcPr>
            <w:tcW w:type="pct" w:w="475"/>
            <w:vMerge w:val="continue"/>
          </w:tcPr>
          <w:p/>
        </w:tc>
        <w:tc>
          <w:tcPr>
            <w:tcW w:type="pct" w:w="475"/>
            <w:vMerge w:val="continue"/>
          </w:tcPr>
          <w:p/>
        </w:tc>
        <w:tc>
          <w:tcPr>
            <w:tcW w:type="pct" w:w="200"/>
            <w:vMerge w:val="continue"/>
          </w:tcPr>
          <w:p/>
        </w:tc>
        <w:tc>
          <w:tcPr>
            <w:tcW w:type="pct" w:w="335"/>
            <w:vMerge w:val="continue"/>
          </w:tcPr>
          <w:p/>
        </w:tc>
        <w:tc>
          <w:tcPr>
            <w:tcW w:type="pct" w:w="335"/>
            <w:vMerge w:val="continue"/>
          </w:tcPr>
          <w:p/>
        </w:tc>
      </w:tr>
      <w:tr>
        <w:trPr>
          <w:cantSplit w:val="on"/>
        </w:trPr>
        <w:tc>
          <w:tcPr>
            <w:tcW w:type="pct" w:w="105"/>
            <w:vMerge w:val="continue"/>
          </w:tcPr>
          <w:p/>
        </w:tc>
        <w:tc>
          <w:tcPr>
            <w:tcW w:type="pct" w:w="400"/>
            <w:vMerge w:val="continue"/>
          </w:tcPr>
          <w:p/>
        </w:tc>
        <w:tc>
          <w:tcPr>
            <w:tcW w:type="pct" w:w="330"/>
            <w:vAlign w:val="center"/>
          </w:tcPr>
          <w:p>
            <w:pPr>
              <w:spacing w:after="0"/>
              <w:jc w:val="center"/>
            </w:pPr>
            <w:r>
              <w:rPr>
                <w:rFonts w:ascii="Times New Roman" w:hAnsi="Times New Roman" w:cs="Times New Roman" w:eastAsia="Times New Roman"/>
                <w:sz w:val="14"/>
                <w:b w:val="off"/>
                <w:i w:val="off"/>
                <w:strike w:val="off"/>
              </w:rPr>
              <w:t>77.29</w:t>
            </w:r>
          </w:p>
        </w:tc>
        <w:tc>
          <w:tcPr>
            <w:tcW w:type="pct" w:w="445"/>
            <w:vAlign w:val="center"/>
          </w:tcPr>
          <w:p>
            <w:pPr>
              <w:spacing w:after="0"/>
              <w:jc w:val="center"/>
            </w:pPr>
            <w:r>
              <w:rPr>
                <w:rFonts w:ascii="Times New Roman" w:hAnsi="Times New Roman" w:cs="Times New Roman" w:eastAsia="Times New Roman"/>
                <w:sz w:val="14"/>
                <w:b w:val="off"/>
                <w:i w:val="off"/>
                <w:strike w:val="off"/>
              </w:rPr>
              <w:t>Услуги по прокату прочих бытовых изделий и предметов личного пользования</w:t>
            </w:r>
          </w:p>
        </w:tc>
        <w:tc>
          <w:tcPr>
            <w:tcW w:type="pct" w:w="300"/>
            <w:vMerge w:val="continue"/>
          </w:tcPr>
          <w:p/>
        </w:tc>
        <w:tc>
          <w:tcPr>
            <w:tcW w:type="pct" w:w="225"/>
            <w:vMerge w:val="continue"/>
          </w:tcPr>
          <w:p/>
        </w:tc>
        <w:tc>
          <w:tcPr>
            <w:tcW w:type="pct" w:w="475"/>
            <w:vMerge w:val="continue"/>
          </w:tcPr>
          <w:p/>
        </w:tc>
        <w:tc>
          <w:tcPr>
            <w:tcW w:type="pct" w:w="475"/>
            <w:vMerge w:val="continue"/>
          </w:tcPr>
          <w:p/>
        </w:tc>
        <w:tc>
          <w:tcPr>
            <w:tcW w:type="pct" w:w="475"/>
            <w:vMerge w:val="continue"/>
          </w:tcPr>
          <w:p/>
        </w:tc>
        <w:tc>
          <w:tcPr>
            <w:tcW w:type="pct" w:w="475"/>
            <w:vMerge w:val="continue"/>
          </w:tcPr>
          <w:p/>
        </w:tc>
        <w:tc>
          <w:tcPr>
            <w:tcW w:type="pct" w:w="475"/>
            <w:vMerge w:val="continue"/>
          </w:tcPr>
          <w:p/>
        </w:tc>
        <w:tc>
          <w:tcPr>
            <w:tcW w:type="pct" w:w="200"/>
            <w:vMerge w:val="continue"/>
          </w:tcPr>
          <w:p/>
        </w:tc>
        <w:tc>
          <w:tcPr>
            <w:tcW w:type="pct" w:w="335"/>
            <w:vMerge w:val="continue"/>
          </w:tcPr>
          <w:p/>
        </w:tc>
        <w:tc>
          <w:tcPr>
            <w:tcW w:type="pct" w:w="335"/>
            <w:vMerge w:val="continue"/>
          </w:tcPr>
          <w:p/>
        </w:tc>
      </w:tr>
      <w:tr>
        <w:trPr>
          <w:cantSplit w:val="on"/>
        </w:trPr>
        <w:tc>
          <w:tcPr>
            <w:tcW w:type="pct" w:w="105"/>
            <w:vMerge w:val="continue"/>
          </w:tcPr>
          <w:p/>
        </w:tc>
        <w:tc>
          <w:tcPr>
            <w:tcW w:type="pct" w:w="400"/>
            <w:vMerge w:val="continue"/>
          </w:tcPr>
          <w:p/>
        </w:tc>
        <w:tc>
          <w:tcPr>
            <w:tcW w:type="pct" w:w="330"/>
            <w:vAlign w:val="center"/>
          </w:tcPr>
          <w:p>
            <w:pPr>
              <w:spacing w:after="0"/>
              <w:jc w:val="center"/>
            </w:pPr>
            <w:r>
              <w:rPr>
                <w:rFonts w:ascii="Times New Roman" w:hAnsi="Times New Roman" w:cs="Times New Roman" w:eastAsia="Times New Roman"/>
                <w:sz w:val="14"/>
                <w:b w:val="off"/>
                <w:i w:val="off"/>
                <w:strike w:val="off"/>
              </w:rPr>
              <w:t>82.20</w:t>
            </w:r>
          </w:p>
        </w:tc>
        <w:tc>
          <w:tcPr>
            <w:tcW w:type="pct" w:w="445"/>
            <w:vAlign w:val="center"/>
          </w:tcPr>
          <w:p>
            <w:pPr>
              <w:spacing w:after="0"/>
              <w:jc w:val="center"/>
            </w:pPr>
            <w:r>
              <w:rPr>
                <w:rFonts w:ascii="Times New Roman" w:hAnsi="Times New Roman" w:cs="Times New Roman" w:eastAsia="Times New Roman"/>
                <w:sz w:val="14"/>
                <w:b w:val="off"/>
                <w:i w:val="off"/>
                <w:strike w:val="off"/>
              </w:rPr>
              <w:t>Услуги центров обработки телефонных вызовов</w:t>
            </w:r>
          </w:p>
        </w:tc>
        <w:tc>
          <w:tcPr>
            <w:tcW w:type="pct" w:w="300"/>
            <w:vMerge w:val="continue"/>
          </w:tcPr>
          <w:p/>
        </w:tc>
        <w:tc>
          <w:tcPr>
            <w:tcW w:type="pct" w:w="225"/>
            <w:vMerge w:val="continue"/>
          </w:tcPr>
          <w:p/>
        </w:tc>
        <w:tc>
          <w:tcPr>
            <w:tcW w:type="pct" w:w="475"/>
            <w:vMerge w:val="continue"/>
          </w:tcPr>
          <w:p/>
        </w:tc>
        <w:tc>
          <w:tcPr>
            <w:tcW w:type="pct" w:w="475"/>
            <w:vMerge w:val="continue"/>
          </w:tcPr>
          <w:p/>
        </w:tc>
        <w:tc>
          <w:tcPr>
            <w:tcW w:type="pct" w:w="475"/>
            <w:vMerge w:val="continue"/>
          </w:tcPr>
          <w:p/>
        </w:tc>
        <w:tc>
          <w:tcPr>
            <w:tcW w:type="pct" w:w="475"/>
            <w:vMerge w:val="continue"/>
          </w:tcPr>
          <w:p/>
        </w:tc>
        <w:tc>
          <w:tcPr>
            <w:tcW w:type="pct" w:w="475"/>
            <w:vMerge w:val="continue"/>
          </w:tcPr>
          <w:p/>
        </w:tc>
        <w:tc>
          <w:tcPr>
            <w:tcW w:type="pct" w:w="200"/>
            <w:vMerge w:val="continue"/>
          </w:tcPr>
          <w:p/>
        </w:tc>
        <w:tc>
          <w:tcPr>
            <w:tcW w:type="pct" w:w="335"/>
            <w:vMerge w:val="continue"/>
          </w:tcPr>
          <w:p/>
        </w:tc>
        <w:tc>
          <w:tcPr>
            <w:tcW w:type="pct" w:w="335"/>
            <w:vMerge w:val="continue"/>
          </w:tcPr>
          <w:p/>
        </w:tc>
      </w:tr>
      <w:tr>
        <w:trPr>
          <w:cantSplit w:val="on"/>
        </w:trPr>
        <w:tc>
          <w:tcPr>
            <w:tcW w:type="pct" w:w="105"/>
            <w:vMerge w:val="continue"/>
          </w:tcPr>
          <w:p/>
        </w:tc>
        <w:tc>
          <w:tcPr>
            <w:tcW w:type="pct" w:w="400"/>
            <w:vMerge w:val="continue"/>
          </w:tcPr>
          <w:p/>
        </w:tc>
        <w:tc>
          <w:tcPr>
            <w:tcW w:type="pct" w:w="330"/>
            <w:vAlign w:val="center"/>
          </w:tcPr>
          <w:p>
            <w:pPr>
              <w:spacing w:after="0"/>
              <w:jc w:val="center"/>
            </w:pPr>
            <w:r>
              <w:rPr>
                <w:rFonts w:ascii="Times New Roman" w:hAnsi="Times New Roman" w:cs="Times New Roman" w:eastAsia="Times New Roman"/>
                <w:sz w:val="14"/>
                <w:b w:val="off"/>
                <w:i w:val="off"/>
                <w:strike w:val="off"/>
              </w:rPr>
              <w:t>82.30</w:t>
            </w:r>
          </w:p>
        </w:tc>
        <w:tc>
          <w:tcPr>
            <w:tcW w:type="pct" w:w="445"/>
            <w:vAlign w:val="center"/>
          </w:tcPr>
          <w:p>
            <w:pPr>
              <w:spacing w:after="0"/>
              <w:jc w:val="center"/>
            </w:pPr>
            <w:r>
              <w:rPr>
                <w:rFonts w:ascii="Times New Roman" w:hAnsi="Times New Roman" w:cs="Times New Roman" w:eastAsia="Times New Roman"/>
                <w:sz w:val="14"/>
                <w:b w:val="off"/>
                <w:i w:val="off"/>
                <w:strike w:val="off"/>
              </w:rPr>
              <w:t>Услуги по организации конференций и торговых выставок</w:t>
            </w:r>
          </w:p>
        </w:tc>
        <w:tc>
          <w:tcPr>
            <w:tcW w:type="pct" w:w="300"/>
            <w:vMerge w:val="continue"/>
          </w:tcPr>
          <w:p/>
        </w:tc>
        <w:tc>
          <w:tcPr>
            <w:tcW w:type="pct" w:w="225"/>
            <w:vMerge w:val="continue"/>
          </w:tcPr>
          <w:p/>
        </w:tc>
        <w:tc>
          <w:tcPr>
            <w:tcW w:type="pct" w:w="475"/>
            <w:vMerge w:val="continue"/>
          </w:tcPr>
          <w:p/>
        </w:tc>
        <w:tc>
          <w:tcPr>
            <w:tcW w:type="pct" w:w="475"/>
            <w:vMerge w:val="continue"/>
          </w:tcPr>
          <w:p/>
        </w:tc>
        <w:tc>
          <w:tcPr>
            <w:tcW w:type="pct" w:w="475"/>
            <w:vMerge w:val="continue"/>
          </w:tcPr>
          <w:p/>
        </w:tc>
        <w:tc>
          <w:tcPr>
            <w:tcW w:type="pct" w:w="475"/>
            <w:vMerge w:val="continue"/>
          </w:tcPr>
          <w:p/>
        </w:tc>
        <w:tc>
          <w:tcPr>
            <w:tcW w:type="pct" w:w="475"/>
            <w:vMerge w:val="continue"/>
          </w:tcPr>
          <w:p/>
        </w:tc>
        <w:tc>
          <w:tcPr>
            <w:tcW w:type="pct" w:w="200"/>
            <w:vMerge w:val="continue"/>
          </w:tcPr>
          <w:p/>
        </w:tc>
        <w:tc>
          <w:tcPr>
            <w:tcW w:type="pct" w:w="335"/>
            <w:vMerge w:val="continue"/>
          </w:tcPr>
          <w:p/>
        </w:tc>
        <w:tc>
          <w:tcPr>
            <w:tcW w:type="pct" w:w="335"/>
            <w:vMerge w:val="continue"/>
          </w:tcPr>
          <w:p/>
        </w:tc>
      </w:tr>
      <w:tr>
        <w:trPr>
          <w:cantSplit w:val="on"/>
        </w:trPr>
        <w:tc>
          <w:tcPr>
            <w:tcW w:type="pct" w:w="105"/>
            <w:vMerge w:val="continue"/>
          </w:tcPr>
          <w:p/>
        </w:tc>
        <w:tc>
          <w:tcPr>
            <w:tcW w:type="pct" w:w="400"/>
            <w:vMerge w:val="continue"/>
          </w:tcPr>
          <w:p/>
        </w:tc>
        <w:tc>
          <w:tcPr>
            <w:tcW w:type="pct" w:w="330"/>
            <w:vAlign w:val="center"/>
          </w:tcPr>
          <w:p>
            <w:pPr>
              <w:spacing w:after="0"/>
              <w:jc w:val="center"/>
            </w:pPr>
            <w:r>
              <w:rPr>
                <w:rFonts w:ascii="Times New Roman" w:hAnsi="Times New Roman" w:cs="Times New Roman" w:eastAsia="Times New Roman"/>
                <w:sz w:val="14"/>
                <w:b w:val="off"/>
                <w:i w:val="off"/>
                <w:strike w:val="off"/>
              </w:rPr>
              <w:t>84.22</w:t>
            </w:r>
          </w:p>
        </w:tc>
        <w:tc>
          <w:tcPr>
            <w:tcW w:type="pct" w:w="445"/>
            <w:vAlign w:val="center"/>
          </w:tcPr>
          <w:p>
            <w:pPr>
              <w:spacing w:after="0"/>
              <w:jc w:val="center"/>
            </w:pPr>
            <w:r>
              <w:rPr>
                <w:rFonts w:ascii="Times New Roman" w:hAnsi="Times New Roman" w:cs="Times New Roman" w:eastAsia="Times New Roman"/>
                <w:sz w:val="14"/>
                <w:b w:val="off"/>
                <w:i w:val="off"/>
                <w:strike w:val="off"/>
              </w:rPr>
              <w:t>Услуги в области обеспечения военной безопасности</w:t>
            </w:r>
          </w:p>
        </w:tc>
        <w:tc>
          <w:tcPr>
            <w:tcW w:type="pct" w:w="300"/>
            <w:vMerge w:val="continue"/>
          </w:tcPr>
          <w:p/>
        </w:tc>
        <w:tc>
          <w:tcPr>
            <w:tcW w:type="pct" w:w="225"/>
            <w:vMerge w:val="continue"/>
          </w:tcPr>
          <w:p/>
        </w:tc>
        <w:tc>
          <w:tcPr>
            <w:tcW w:type="pct" w:w="475"/>
            <w:vMerge w:val="continue"/>
          </w:tcPr>
          <w:p/>
        </w:tc>
        <w:tc>
          <w:tcPr>
            <w:tcW w:type="pct" w:w="475"/>
            <w:vMerge w:val="continue"/>
          </w:tcPr>
          <w:p/>
        </w:tc>
        <w:tc>
          <w:tcPr>
            <w:tcW w:type="pct" w:w="475"/>
            <w:vMerge w:val="continue"/>
          </w:tcPr>
          <w:p/>
        </w:tc>
        <w:tc>
          <w:tcPr>
            <w:tcW w:type="pct" w:w="475"/>
            <w:vMerge w:val="continue"/>
          </w:tcPr>
          <w:p/>
        </w:tc>
        <w:tc>
          <w:tcPr>
            <w:tcW w:type="pct" w:w="475"/>
            <w:vMerge w:val="continue"/>
          </w:tcPr>
          <w:p/>
        </w:tc>
        <w:tc>
          <w:tcPr>
            <w:tcW w:type="pct" w:w="200"/>
            <w:vMerge w:val="continue"/>
          </w:tcPr>
          <w:p/>
        </w:tc>
        <w:tc>
          <w:tcPr>
            <w:tcW w:type="pct" w:w="335"/>
            <w:vMerge w:val="continue"/>
          </w:tcPr>
          <w:p/>
        </w:tc>
        <w:tc>
          <w:tcPr>
            <w:tcW w:type="pct" w:w="335"/>
            <w:vMerge w:val="continue"/>
          </w:tcPr>
          <w:p/>
        </w:tc>
      </w:tr>
      <w:tr>
        <w:trPr>
          <w:cantSplit w:val="on"/>
        </w:trPr>
        <w:tc>
          <w:tcPr>
            <w:tcW w:type="pct" w:w="105"/>
            <w:vMerge w:val="continue"/>
          </w:tcPr>
          <w:p/>
        </w:tc>
        <w:tc>
          <w:tcPr>
            <w:tcW w:type="pct" w:w="400"/>
            <w:vMerge w:val="continue"/>
          </w:tcPr>
          <w:p/>
        </w:tc>
        <w:tc>
          <w:tcPr>
            <w:tcW w:type="pct" w:w="330"/>
            <w:vAlign w:val="center"/>
          </w:tcPr>
          <w:p>
            <w:pPr>
              <w:spacing w:after="0"/>
              <w:jc w:val="center"/>
            </w:pPr>
            <w:r>
              <w:rPr>
                <w:rFonts w:ascii="Times New Roman" w:hAnsi="Times New Roman" w:cs="Times New Roman" w:eastAsia="Times New Roman"/>
                <w:sz w:val="14"/>
                <w:b w:val="off"/>
                <w:i w:val="off"/>
                <w:strike w:val="off"/>
              </w:rPr>
              <w:t>96.09</w:t>
            </w:r>
          </w:p>
        </w:tc>
        <w:tc>
          <w:tcPr>
            <w:tcW w:type="pct" w:w="445"/>
            <w:vAlign w:val="center"/>
          </w:tcPr>
          <w:p>
            <w:pPr>
              <w:spacing w:after="0"/>
              <w:jc w:val="center"/>
            </w:pPr>
            <w:r>
              <w:rPr>
                <w:rFonts w:ascii="Times New Roman" w:hAnsi="Times New Roman" w:cs="Times New Roman" w:eastAsia="Times New Roman"/>
                <w:sz w:val="14"/>
                <w:b w:val="off"/>
                <w:i w:val="off"/>
                <w:strike w:val="off"/>
              </w:rPr>
              <w:t>Услуги персональные прочие, не включенные в другие группировки</w:t>
            </w:r>
          </w:p>
        </w:tc>
        <w:tc>
          <w:tcPr>
            <w:tcW w:type="pct" w:w="300"/>
            <w:vMerge w:val="continue"/>
          </w:tcPr>
          <w:p/>
        </w:tc>
        <w:tc>
          <w:tcPr>
            <w:tcW w:type="pct" w:w="225"/>
            <w:vMerge w:val="continue"/>
          </w:tcPr>
          <w:p/>
        </w:tc>
        <w:tc>
          <w:tcPr>
            <w:tcW w:type="pct" w:w="475"/>
            <w:vMerge w:val="continue"/>
          </w:tcPr>
          <w:p/>
        </w:tc>
        <w:tc>
          <w:tcPr>
            <w:tcW w:type="pct" w:w="475"/>
            <w:vMerge w:val="continue"/>
          </w:tcPr>
          <w:p/>
        </w:tc>
        <w:tc>
          <w:tcPr>
            <w:tcW w:type="pct" w:w="475"/>
            <w:vMerge w:val="continue"/>
          </w:tcPr>
          <w:p/>
        </w:tc>
        <w:tc>
          <w:tcPr>
            <w:tcW w:type="pct" w:w="475"/>
            <w:vMerge w:val="continue"/>
          </w:tcPr>
          <w:p/>
        </w:tc>
        <w:tc>
          <w:tcPr>
            <w:tcW w:type="pct" w:w="475"/>
            <w:vMerge w:val="continue"/>
          </w:tcPr>
          <w:p/>
        </w:tc>
        <w:tc>
          <w:tcPr>
            <w:tcW w:type="pct" w:w="200"/>
            <w:vMerge w:val="continue"/>
          </w:tcPr>
          <w:p/>
        </w:tc>
        <w:tc>
          <w:tcPr>
            <w:tcW w:type="pct" w:w="335"/>
            <w:vMerge w:val="continue"/>
          </w:tcPr>
          <w:p/>
        </w:tc>
        <w:tc>
          <w:tcPr>
            <w:tcW w:type="pct" w:w="335"/>
            <w:vMerge w:val="continue"/>
          </w:tcPr>
          <w:p/>
        </w:tc>
      </w:tr>
      <w:tr>
        <w:trPr>
          <w:cantSplit w:val="on"/>
        </w:trPr>
        <w:tc>
          <w:tcPr>
            <w:tcW w:type="pct" w:w="105"/>
            <w:vMerge w:val="restart"/>
            <w:vAlign w:val="center"/>
          </w:tcPr>
          <w:p>
            <w:pPr>
              <w:spacing w:after="0"/>
              <w:jc w:val="center"/>
            </w:pPr>
            <w:r>
              <w:rPr>
                <w:rFonts w:ascii="Times New Roman" w:hAnsi="Times New Roman" w:cs="Times New Roman" w:eastAsia="Times New Roman"/>
                <w:sz w:val="14"/>
                <w:b w:val="off"/>
                <w:i w:val="off"/>
                <w:strike w:val="off"/>
              </w:rPr>
              <w:t>2</w:t>
            </w:r>
          </w:p>
        </w:tc>
        <w:tc>
          <w:tcPr>
            <w:tcW w:type="pct" w:w="400"/>
            <w:vMerge w:val="restart"/>
            <w:vAlign w:val="center"/>
          </w:tcPr>
          <w:p>
            <w:pPr>
              <w:spacing w:after="0"/>
              <w:jc w:val="center"/>
            </w:pPr>
            <w:r>
              <w:rPr>
                <w:rFonts w:ascii="Times New Roman" w:hAnsi="Times New Roman" w:cs="Times New Roman" w:eastAsia="Times New Roman"/>
                <w:sz w:val="14"/>
                <w:b w:val="off"/>
                <w:i w:val="off"/>
                <w:strike w:val="off"/>
              </w:rPr>
              <w:t>262591500517059150100100020000000242</w:t>
            </w:r>
          </w:p>
        </w:tc>
        <w:tc>
          <w:tcPr>
            <w:tcW w:type="pct" w:w="330"/>
            <w:vAlign w:val="center"/>
          </w:tcPr>
          <w:p>
            <w:pPr>
              <w:spacing w:after="0"/>
              <w:jc w:val="center"/>
            </w:pPr>
            <w:r>
              <w:rPr>
                <w:rFonts w:ascii="Times New Roman" w:hAnsi="Times New Roman" w:cs="Times New Roman" w:eastAsia="Times New Roman"/>
                <w:sz w:val="14"/>
                <w:b w:val="off"/>
                <w:i w:val="off"/>
                <w:strike w:val="off"/>
              </w:rPr>
              <w:t>33.12</w:t>
            </w:r>
          </w:p>
        </w:tc>
        <w:tc>
          <w:tcPr>
            <w:tcW w:type="pct" w:w="445"/>
            <w:vAlign w:val="center"/>
          </w:tcPr>
          <w:p>
            <w:pPr>
              <w:spacing w:after="0"/>
              <w:jc w:val="center"/>
            </w:pPr>
            <w:r>
              <w:rPr>
                <w:rFonts w:ascii="Times New Roman" w:hAnsi="Times New Roman" w:cs="Times New Roman" w:eastAsia="Times New Roman"/>
                <w:sz w:val="14"/>
                <w:b w:val="off"/>
                <w:i w:val="off"/>
                <w:strike w:val="off"/>
              </w:rPr>
              <w:t>Услуги по ремонту оборудования</w:t>
            </w:r>
          </w:p>
        </w:tc>
        <w:tc>
          <w:tcPr>
            <w:tcW w:type="pct" w:w="300"/>
            <w:vMerge w:val="restart"/>
            <w:vAlign w:val="center"/>
          </w:tcPr>
          <w:p>
            <w:pPr>
              <w:spacing w:after="0"/>
              <w:jc w:val="center"/>
            </w:pPr>
            <w:r>
              <w:rPr>
                <w:rFonts w:ascii="Times New Roman" w:hAnsi="Times New Roman" w:cs="Times New Roman" w:eastAsia="Times New Roman"/>
                <w:sz w:val="14"/>
                <w:b w:val="off"/>
                <w:i w:val="off"/>
                <w:strike w:val="off"/>
              </w:rPr>
              <w:t>Услуги общедоступной электрической связи</w:t>
            </w:r>
          </w:p>
        </w:tc>
        <w:tc>
          <w:tcPr>
            <w:tcW w:type="pct" w:w="225"/>
            <w:vMerge w:val="restart"/>
            <w:vAlign w:val="center"/>
          </w:tcPr>
          <w:p>
            <w:pPr>
              <w:spacing w:after="0"/>
              <w:jc w:val="center"/>
            </w:pPr>
            <w:r>
              <w:rPr>
                <w:rFonts w:ascii="Times New Roman" w:hAnsi="Times New Roman" w:cs="Times New Roman" w:eastAsia="Times New Roman"/>
                <w:sz w:val="14"/>
                <w:b w:val="off"/>
                <w:i w:val="off"/>
                <w:strike w:val="off"/>
              </w:rPr>
              <w:t>2026</w:t>
            </w:r>
          </w:p>
        </w:tc>
        <w:tc>
          <w:tcPr>
            <w:tcW w:type="pct" w:w="475"/>
            <w:vMerge w:val="restart"/>
            <w:vAlign w:val="center"/>
          </w:tcPr>
          <w:p>
            <w:pPr>
              <w:spacing w:after="0"/>
              <w:jc w:val="center"/>
            </w:pPr>
            <w:r>
              <w:rPr>
                <w:rFonts w:ascii="Times New Roman" w:hAnsi="Times New Roman" w:cs="Times New Roman" w:eastAsia="Times New Roman"/>
                <w:sz w:val="14"/>
                <w:b w:val="off"/>
                <w:i w:val="off"/>
                <w:strike w:val="off"/>
              </w:rPr>
              <w:t>18 000,00</w:t>
            </w:r>
          </w:p>
        </w:tc>
        <w:tc>
          <w:tcPr>
            <w:tcW w:type="pct" w:w="475"/>
            <w:vMerge w:val="restart"/>
            <w:vAlign w:val="center"/>
          </w:tcPr>
          <w:p>
            <w:pPr>
              <w:spacing w:after="0"/>
              <w:jc w:val="center"/>
            </w:pPr>
            <w:r>
              <w:rPr>
                <w:rFonts w:ascii="Times New Roman" w:hAnsi="Times New Roman" w:cs="Times New Roman" w:eastAsia="Times New Roman"/>
                <w:sz w:val="14"/>
                <w:b w:val="off"/>
                <w:i w:val="off"/>
                <w:strike w:val="off"/>
              </w:rPr>
              <w:t>0,00</w:t>
            </w:r>
          </w:p>
        </w:tc>
        <w:tc>
          <w:tcPr>
            <w:tcW w:type="pct" w:w="475"/>
            <w:vMerge w:val="restart"/>
            <w:vAlign w:val="center"/>
          </w:tcPr>
          <w:p>
            <w:pPr>
              <w:spacing w:after="0"/>
              <w:jc w:val="center"/>
            </w:pPr>
            <w:r>
              <w:rPr>
                <w:rFonts w:ascii="Times New Roman" w:hAnsi="Times New Roman" w:cs="Times New Roman" w:eastAsia="Times New Roman"/>
                <w:sz w:val="14"/>
                <w:b w:val="off"/>
                <w:i w:val="off"/>
                <w:strike w:val="off"/>
              </w:rPr>
              <w:t>16 000,00</w:t>
            </w:r>
          </w:p>
        </w:tc>
        <w:tc>
          <w:tcPr>
            <w:tcW w:type="pct" w:w="475"/>
            <w:vMerge w:val="restart"/>
            <w:vAlign w:val="center"/>
          </w:tcPr>
          <w:p>
            <w:pPr>
              <w:spacing w:after="0"/>
              <w:jc w:val="center"/>
            </w:pPr>
            <w:r>
              <w:rPr>
                <w:rFonts w:ascii="Times New Roman" w:hAnsi="Times New Roman" w:cs="Times New Roman" w:eastAsia="Times New Roman"/>
                <w:sz w:val="14"/>
                <w:b w:val="off"/>
                <w:i w:val="off"/>
                <w:strike w:val="off"/>
              </w:rPr>
              <w:t>2 000,00</w:t>
            </w:r>
          </w:p>
        </w:tc>
        <w:tc>
          <w:tcPr>
            <w:tcW w:type="pct" w:w="475"/>
            <w:vMerge w:val="restart"/>
            <w:vAlign w:val="center"/>
          </w:tcPr>
          <w:p>
            <w:pPr>
              <w:spacing w:after="0"/>
              <w:jc w:val="center"/>
            </w:pPr>
            <w:r>
              <w:rPr>
                <w:rFonts w:ascii="Times New Roman" w:hAnsi="Times New Roman" w:cs="Times New Roman" w:eastAsia="Times New Roman"/>
                <w:sz w:val="14"/>
                <w:b w:val="off"/>
                <w:i w:val="off"/>
                <w:strike w:val="off"/>
              </w:rPr>
              <w:t>0,00</w:t>
            </w:r>
          </w:p>
        </w:tc>
        <w:tc>
          <w:tcPr>
            <w:tcW w:type="pct" w:w="200"/>
            <w:vMerge w:val="restart"/>
            <w:vAlign w:val="center"/>
          </w:tcPr>
          <w:p>
            <w:pPr>
              <w:spacing w:after="0"/>
              <w:jc w:val="center"/>
            </w:pPr>
            <w:r>
              <w:rPr>
                <w:rFonts w:ascii="Times New Roman" w:hAnsi="Times New Roman" w:cs="Times New Roman" w:eastAsia="Times New Roman"/>
                <w:sz w:val="14"/>
                <w:b w:val="off"/>
                <w:i w:val="off"/>
                <w:strike w:val="off"/>
              </w:rPr>
              <w:t>Нет</w:t>
            </w:r>
          </w:p>
        </w:tc>
        <w:tc>
          <w:tcPr>
            <w:tcW w:type="pct" w:w="335"/>
            <w:vMerge w:val="restart"/>
            <w:vAlign w:val="center"/>
          </w:tcPr>
          <w:p>
            <w:pPr>
              <w:spacing w:after="0"/>
              <w:jc w:val="center"/>
            </w:pPr>
            <w:r>
              <w:rPr>
                <w:rFonts w:ascii="Times New Roman" w:hAnsi="Times New Roman" w:cs="Times New Roman" w:eastAsia="Times New Roman"/>
                <w:sz w:val="14"/>
                <w:b w:val="off"/>
                <w:i w:val="off"/>
                <w:strike w:val="off"/>
              </w:rPr>
              <w:t>-</w:t>
            </w:r>
          </w:p>
        </w:tc>
        <w:tc>
          <w:tcPr>
            <w:tcW w:type="pct" w:w="335"/>
            <w:vMerge w:val="restart"/>
            <w:vAlign w:val="center"/>
          </w:tcPr>
          <w:p>
            <w:pPr>
              <w:spacing w:after="0"/>
              <w:jc w:val="center"/>
            </w:pPr>
            <w:r>
              <w:rPr>
                <w:rFonts w:ascii="Times New Roman" w:hAnsi="Times New Roman" w:cs="Times New Roman" w:eastAsia="Times New Roman"/>
                <w:sz w:val="14"/>
                <w:b w:val="off"/>
                <w:i w:val="off"/>
                <w:strike w:val="off"/>
              </w:rPr>
              <w:t>-</w:t>
            </w:r>
          </w:p>
        </w:tc>
      </w:tr>
      <w:tr>
        <w:trPr>
          <w:cantSplit w:val="on"/>
        </w:trPr>
        <w:tc>
          <w:tcPr>
            <w:tcW w:type="pct" w:w="105"/>
            <w:vMerge w:val="continue"/>
          </w:tcPr>
          <w:p/>
        </w:tc>
        <w:tc>
          <w:tcPr>
            <w:tcW w:type="pct" w:w="400"/>
            <w:vMerge w:val="continue"/>
          </w:tcPr>
          <w:p/>
        </w:tc>
        <w:tc>
          <w:tcPr>
            <w:tcW w:type="pct" w:w="330"/>
            <w:vAlign w:val="center"/>
          </w:tcPr>
          <w:p>
            <w:pPr>
              <w:spacing w:after="0"/>
              <w:jc w:val="center"/>
            </w:pPr>
            <w:r>
              <w:rPr>
                <w:rFonts w:ascii="Times New Roman" w:hAnsi="Times New Roman" w:cs="Times New Roman" w:eastAsia="Times New Roman"/>
                <w:sz w:val="14"/>
                <w:b w:val="off"/>
                <w:i w:val="off"/>
                <w:strike w:val="off"/>
              </w:rPr>
              <w:t>33.20</w:t>
            </w:r>
          </w:p>
        </w:tc>
        <w:tc>
          <w:tcPr>
            <w:tcW w:type="pct" w:w="445"/>
            <w:vAlign w:val="center"/>
          </w:tcPr>
          <w:p>
            <w:pPr>
              <w:spacing w:after="0"/>
              <w:jc w:val="center"/>
            </w:pPr>
            <w:r>
              <w:rPr>
                <w:rFonts w:ascii="Times New Roman" w:hAnsi="Times New Roman" w:cs="Times New Roman" w:eastAsia="Times New Roman"/>
                <w:sz w:val="14"/>
                <w:b w:val="off"/>
                <w:i w:val="off"/>
                <w:strike w:val="off"/>
              </w:rPr>
              <w:t>Услуги по монтажу промышленных машин и оборудования</w:t>
            </w:r>
          </w:p>
        </w:tc>
        <w:tc>
          <w:tcPr>
            <w:tcW w:type="pct" w:w="300"/>
            <w:vMerge w:val="continue"/>
          </w:tcPr>
          <w:p/>
        </w:tc>
        <w:tc>
          <w:tcPr>
            <w:tcW w:type="pct" w:w="225"/>
            <w:vMerge w:val="continue"/>
          </w:tcPr>
          <w:p/>
        </w:tc>
        <w:tc>
          <w:tcPr>
            <w:tcW w:type="pct" w:w="475"/>
            <w:vMerge w:val="continue"/>
          </w:tcPr>
          <w:p/>
        </w:tc>
        <w:tc>
          <w:tcPr>
            <w:tcW w:type="pct" w:w="475"/>
            <w:vMerge w:val="continue"/>
          </w:tcPr>
          <w:p/>
        </w:tc>
        <w:tc>
          <w:tcPr>
            <w:tcW w:type="pct" w:w="475"/>
            <w:vMerge w:val="continue"/>
          </w:tcPr>
          <w:p/>
        </w:tc>
        <w:tc>
          <w:tcPr>
            <w:tcW w:type="pct" w:w="475"/>
            <w:vMerge w:val="continue"/>
          </w:tcPr>
          <w:p/>
        </w:tc>
        <w:tc>
          <w:tcPr>
            <w:tcW w:type="pct" w:w="475"/>
            <w:vMerge w:val="continue"/>
          </w:tcPr>
          <w:p/>
        </w:tc>
        <w:tc>
          <w:tcPr>
            <w:tcW w:type="pct" w:w="200"/>
            <w:vMerge w:val="continue"/>
          </w:tcPr>
          <w:p/>
        </w:tc>
        <w:tc>
          <w:tcPr>
            <w:tcW w:type="pct" w:w="335"/>
            <w:vMerge w:val="continue"/>
          </w:tcPr>
          <w:p/>
        </w:tc>
        <w:tc>
          <w:tcPr>
            <w:tcW w:type="pct" w:w="335"/>
            <w:vMerge w:val="continue"/>
          </w:tcPr>
          <w:p/>
        </w:tc>
      </w:tr>
      <w:tr>
        <w:trPr>
          <w:cantSplit w:val="on"/>
        </w:trPr>
        <w:tc>
          <w:tcPr>
            <w:tcW w:type="pct" w:w="105"/>
            <w:vMerge w:val="continue"/>
          </w:tcPr>
          <w:p/>
        </w:tc>
        <w:tc>
          <w:tcPr>
            <w:tcW w:type="pct" w:w="400"/>
            <w:vMerge w:val="continue"/>
          </w:tcPr>
          <w:p/>
        </w:tc>
        <w:tc>
          <w:tcPr>
            <w:tcW w:type="pct" w:w="330"/>
            <w:vAlign w:val="center"/>
          </w:tcPr>
          <w:p>
            <w:pPr>
              <w:spacing w:after="0"/>
              <w:jc w:val="center"/>
            </w:pPr>
            <w:r>
              <w:rPr>
                <w:rFonts w:ascii="Times New Roman" w:hAnsi="Times New Roman" w:cs="Times New Roman" w:eastAsia="Times New Roman"/>
                <w:sz w:val="14"/>
                <w:b w:val="off"/>
                <w:i w:val="off"/>
                <w:strike w:val="off"/>
              </w:rPr>
              <w:t>53.10</w:t>
            </w:r>
          </w:p>
        </w:tc>
        <w:tc>
          <w:tcPr>
            <w:tcW w:type="pct" w:w="445"/>
            <w:vAlign w:val="center"/>
          </w:tcPr>
          <w:p>
            <w:pPr>
              <w:spacing w:after="0"/>
              <w:jc w:val="center"/>
            </w:pPr>
            <w:r>
              <w:rPr>
                <w:rFonts w:ascii="Times New Roman" w:hAnsi="Times New Roman" w:cs="Times New Roman" w:eastAsia="Times New Roman"/>
                <w:sz w:val="14"/>
                <w:b w:val="off"/>
                <w:i w:val="off"/>
                <w:strike w:val="off"/>
              </w:rPr>
              <w:t>Услуги почтовой связи общего пользования</w:t>
            </w:r>
          </w:p>
        </w:tc>
        <w:tc>
          <w:tcPr>
            <w:tcW w:type="pct" w:w="300"/>
            <w:vMerge w:val="continue"/>
          </w:tcPr>
          <w:p/>
        </w:tc>
        <w:tc>
          <w:tcPr>
            <w:tcW w:type="pct" w:w="225"/>
            <w:vMerge w:val="continue"/>
          </w:tcPr>
          <w:p/>
        </w:tc>
        <w:tc>
          <w:tcPr>
            <w:tcW w:type="pct" w:w="475"/>
            <w:vMerge w:val="continue"/>
          </w:tcPr>
          <w:p/>
        </w:tc>
        <w:tc>
          <w:tcPr>
            <w:tcW w:type="pct" w:w="475"/>
            <w:vMerge w:val="continue"/>
          </w:tcPr>
          <w:p/>
        </w:tc>
        <w:tc>
          <w:tcPr>
            <w:tcW w:type="pct" w:w="475"/>
            <w:vMerge w:val="continue"/>
          </w:tcPr>
          <w:p/>
        </w:tc>
        <w:tc>
          <w:tcPr>
            <w:tcW w:type="pct" w:w="475"/>
            <w:vMerge w:val="continue"/>
          </w:tcPr>
          <w:p/>
        </w:tc>
        <w:tc>
          <w:tcPr>
            <w:tcW w:type="pct" w:w="475"/>
            <w:vMerge w:val="continue"/>
          </w:tcPr>
          <w:p/>
        </w:tc>
        <w:tc>
          <w:tcPr>
            <w:tcW w:type="pct" w:w="200"/>
            <w:vMerge w:val="continue"/>
          </w:tcPr>
          <w:p/>
        </w:tc>
        <w:tc>
          <w:tcPr>
            <w:tcW w:type="pct" w:w="335"/>
            <w:vMerge w:val="continue"/>
          </w:tcPr>
          <w:p/>
        </w:tc>
        <w:tc>
          <w:tcPr>
            <w:tcW w:type="pct" w:w="335"/>
            <w:vMerge w:val="continue"/>
          </w:tcPr>
          <w:p/>
        </w:tc>
      </w:tr>
      <w:tr>
        <w:trPr>
          <w:cantSplit w:val="on"/>
        </w:trPr>
        <w:tc>
          <w:tcPr>
            <w:tcW w:type="pct" w:w="105"/>
            <w:vMerge w:val="continue"/>
          </w:tcPr>
          <w:p/>
        </w:tc>
        <w:tc>
          <w:tcPr>
            <w:tcW w:type="pct" w:w="400"/>
            <w:vMerge w:val="continue"/>
          </w:tcPr>
          <w:p/>
        </w:tc>
        <w:tc>
          <w:tcPr>
            <w:tcW w:type="pct" w:w="330"/>
            <w:vAlign w:val="center"/>
          </w:tcPr>
          <w:p>
            <w:pPr>
              <w:spacing w:after="0"/>
              <w:jc w:val="center"/>
            </w:pPr>
            <w:r>
              <w:rPr>
                <w:rFonts w:ascii="Times New Roman" w:hAnsi="Times New Roman" w:cs="Times New Roman" w:eastAsia="Times New Roman"/>
                <w:sz w:val="14"/>
                <w:b w:val="off"/>
                <w:i w:val="off"/>
                <w:strike w:val="off"/>
              </w:rPr>
              <w:t>53.20</w:t>
            </w:r>
          </w:p>
        </w:tc>
        <w:tc>
          <w:tcPr>
            <w:tcW w:type="pct" w:w="445"/>
            <w:vAlign w:val="center"/>
          </w:tcPr>
          <w:p>
            <w:pPr>
              <w:spacing w:after="0"/>
              <w:jc w:val="center"/>
            </w:pPr>
            <w:r>
              <w:rPr>
                <w:rFonts w:ascii="Times New Roman" w:hAnsi="Times New Roman" w:cs="Times New Roman" w:eastAsia="Times New Roman"/>
                <w:sz w:val="14"/>
                <w:b w:val="off"/>
                <w:i w:val="off"/>
                <w:strike w:val="off"/>
              </w:rPr>
              <w:t>Услуги почтовой связи прочие и услуги курьерские</w:t>
            </w:r>
          </w:p>
        </w:tc>
        <w:tc>
          <w:tcPr>
            <w:tcW w:type="pct" w:w="300"/>
            <w:vMerge w:val="continue"/>
          </w:tcPr>
          <w:p/>
        </w:tc>
        <w:tc>
          <w:tcPr>
            <w:tcW w:type="pct" w:w="225"/>
            <w:vMerge w:val="continue"/>
          </w:tcPr>
          <w:p/>
        </w:tc>
        <w:tc>
          <w:tcPr>
            <w:tcW w:type="pct" w:w="475"/>
            <w:vMerge w:val="continue"/>
          </w:tcPr>
          <w:p/>
        </w:tc>
        <w:tc>
          <w:tcPr>
            <w:tcW w:type="pct" w:w="475"/>
            <w:vMerge w:val="continue"/>
          </w:tcPr>
          <w:p/>
        </w:tc>
        <w:tc>
          <w:tcPr>
            <w:tcW w:type="pct" w:w="475"/>
            <w:vMerge w:val="continue"/>
          </w:tcPr>
          <w:p/>
        </w:tc>
        <w:tc>
          <w:tcPr>
            <w:tcW w:type="pct" w:w="475"/>
            <w:vMerge w:val="continue"/>
          </w:tcPr>
          <w:p/>
        </w:tc>
        <w:tc>
          <w:tcPr>
            <w:tcW w:type="pct" w:w="475"/>
            <w:vMerge w:val="continue"/>
          </w:tcPr>
          <w:p/>
        </w:tc>
        <w:tc>
          <w:tcPr>
            <w:tcW w:type="pct" w:w="200"/>
            <w:vMerge w:val="continue"/>
          </w:tcPr>
          <w:p/>
        </w:tc>
        <w:tc>
          <w:tcPr>
            <w:tcW w:type="pct" w:w="335"/>
            <w:vMerge w:val="continue"/>
          </w:tcPr>
          <w:p/>
        </w:tc>
        <w:tc>
          <w:tcPr>
            <w:tcW w:type="pct" w:w="335"/>
            <w:vMerge w:val="continue"/>
          </w:tcPr>
          <w:p/>
        </w:tc>
      </w:tr>
      <w:tr>
        <w:trPr>
          <w:cantSplit w:val="on"/>
        </w:trPr>
        <w:tc>
          <w:tcPr>
            <w:tcW w:type="pct" w:w="105"/>
            <w:vMerge w:val="continue"/>
          </w:tcPr>
          <w:p/>
        </w:tc>
        <w:tc>
          <w:tcPr>
            <w:tcW w:type="pct" w:w="400"/>
            <w:vMerge w:val="continue"/>
          </w:tcPr>
          <w:p/>
        </w:tc>
        <w:tc>
          <w:tcPr>
            <w:tcW w:type="pct" w:w="330"/>
            <w:vAlign w:val="center"/>
          </w:tcPr>
          <w:p>
            <w:pPr>
              <w:spacing w:after="0"/>
              <w:jc w:val="center"/>
            </w:pPr>
            <w:r>
              <w:rPr>
                <w:rFonts w:ascii="Times New Roman" w:hAnsi="Times New Roman" w:cs="Times New Roman" w:eastAsia="Times New Roman"/>
                <w:sz w:val="14"/>
                <w:b w:val="off"/>
                <w:i w:val="off"/>
                <w:strike w:val="off"/>
              </w:rPr>
              <w:t>58.13</w:t>
            </w:r>
          </w:p>
        </w:tc>
        <w:tc>
          <w:tcPr>
            <w:tcW w:type="pct" w:w="445"/>
            <w:vAlign w:val="center"/>
          </w:tcPr>
          <w:p>
            <w:pPr>
              <w:spacing w:after="0"/>
              <w:jc w:val="center"/>
            </w:pPr>
            <w:r>
              <w:rPr>
                <w:rFonts w:ascii="Times New Roman" w:hAnsi="Times New Roman" w:cs="Times New Roman" w:eastAsia="Times New Roman"/>
                <w:sz w:val="14"/>
                <w:b w:val="off"/>
                <w:i w:val="off"/>
                <w:strike w:val="off"/>
              </w:rPr>
              <w:t>Услуги по изданию газет</w:t>
            </w:r>
          </w:p>
        </w:tc>
        <w:tc>
          <w:tcPr>
            <w:tcW w:type="pct" w:w="300"/>
            <w:vMerge w:val="continue"/>
          </w:tcPr>
          <w:p/>
        </w:tc>
        <w:tc>
          <w:tcPr>
            <w:tcW w:type="pct" w:w="225"/>
            <w:vMerge w:val="continue"/>
          </w:tcPr>
          <w:p/>
        </w:tc>
        <w:tc>
          <w:tcPr>
            <w:tcW w:type="pct" w:w="475"/>
            <w:vMerge w:val="continue"/>
          </w:tcPr>
          <w:p/>
        </w:tc>
        <w:tc>
          <w:tcPr>
            <w:tcW w:type="pct" w:w="475"/>
            <w:vMerge w:val="continue"/>
          </w:tcPr>
          <w:p/>
        </w:tc>
        <w:tc>
          <w:tcPr>
            <w:tcW w:type="pct" w:w="475"/>
            <w:vMerge w:val="continue"/>
          </w:tcPr>
          <w:p/>
        </w:tc>
        <w:tc>
          <w:tcPr>
            <w:tcW w:type="pct" w:w="475"/>
            <w:vMerge w:val="continue"/>
          </w:tcPr>
          <w:p/>
        </w:tc>
        <w:tc>
          <w:tcPr>
            <w:tcW w:type="pct" w:w="475"/>
            <w:vMerge w:val="continue"/>
          </w:tcPr>
          <w:p/>
        </w:tc>
        <w:tc>
          <w:tcPr>
            <w:tcW w:type="pct" w:w="200"/>
            <w:vMerge w:val="continue"/>
          </w:tcPr>
          <w:p/>
        </w:tc>
        <w:tc>
          <w:tcPr>
            <w:tcW w:type="pct" w:w="335"/>
            <w:vMerge w:val="continue"/>
          </w:tcPr>
          <w:p/>
        </w:tc>
        <w:tc>
          <w:tcPr>
            <w:tcW w:type="pct" w:w="335"/>
            <w:vMerge w:val="continue"/>
          </w:tcPr>
          <w:p/>
        </w:tc>
      </w:tr>
      <w:tr>
        <w:trPr>
          <w:cantSplit w:val="on"/>
        </w:trPr>
        <w:tc>
          <w:tcPr>
            <w:tcW w:type="pct" w:w="105"/>
            <w:vMerge w:val="continue"/>
          </w:tcPr>
          <w:p/>
        </w:tc>
        <w:tc>
          <w:tcPr>
            <w:tcW w:type="pct" w:w="400"/>
            <w:vMerge w:val="continue"/>
          </w:tcPr>
          <w:p/>
        </w:tc>
        <w:tc>
          <w:tcPr>
            <w:tcW w:type="pct" w:w="330"/>
            <w:vAlign w:val="center"/>
          </w:tcPr>
          <w:p>
            <w:pPr>
              <w:spacing w:after="0"/>
              <w:jc w:val="center"/>
            </w:pPr>
            <w:r>
              <w:rPr>
                <w:rFonts w:ascii="Times New Roman" w:hAnsi="Times New Roman" w:cs="Times New Roman" w:eastAsia="Times New Roman"/>
                <w:sz w:val="14"/>
                <w:b w:val="off"/>
                <w:i w:val="off"/>
                <w:strike w:val="off"/>
              </w:rPr>
              <w:t>58.14</w:t>
            </w:r>
          </w:p>
        </w:tc>
        <w:tc>
          <w:tcPr>
            <w:tcW w:type="pct" w:w="445"/>
            <w:vAlign w:val="center"/>
          </w:tcPr>
          <w:p>
            <w:pPr>
              <w:spacing w:after="0"/>
              <w:jc w:val="center"/>
            </w:pPr>
            <w:r>
              <w:rPr>
                <w:rFonts w:ascii="Times New Roman" w:hAnsi="Times New Roman" w:cs="Times New Roman" w:eastAsia="Times New Roman"/>
                <w:sz w:val="14"/>
                <w:b w:val="off"/>
                <w:i w:val="off"/>
                <w:strike w:val="off"/>
              </w:rPr>
              <w:t>Услуги по изданию журналов и периодических изданий</w:t>
            </w:r>
          </w:p>
        </w:tc>
        <w:tc>
          <w:tcPr>
            <w:tcW w:type="pct" w:w="300"/>
            <w:vMerge w:val="continue"/>
          </w:tcPr>
          <w:p/>
        </w:tc>
        <w:tc>
          <w:tcPr>
            <w:tcW w:type="pct" w:w="225"/>
            <w:vMerge w:val="continue"/>
          </w:tcPr>
          <w:p/>
        </w:tc>
        <w:tc>
          <w:tcPr>
            <w:tcW w:type="pct" w:w="475"/>
            <w:vMerge w:val="continue"/>
          </w:tcPr>
          <w:p/>
        </w:tc>
        <w:tc>
          <w:tcPr>
            <w:tcW w:type="pct" w:w="475"/>
            <w:vMerge w:val="continue"/>
          </w:tcPr>
          <w:p/>
        </w:tc>
        <w:tc>
          <w:tcPr>
            <w:tcW w:type="pct" w:w="475"/>
            <w:vMerge w:val="continue"/>
          </w:tcPr>
          <w:p/>
        </w:tc>
        <w:tc>
          <w:tcPr>
            <w:tcW w:type="pct" w:w="475"/>
            <w:vMerge w:val="continue"/>
          </w:tcPr>
          <w:p/>
        </w:tc>
        <w:tc>
          <w:tcPr>
            <w:tcW w:type="pct" w:w="475"/>
            <w:vMerge w:val="continue"/>
          </w:tcPr>
          <w:p/>
        </w:tc>
        <w:tc>
          <w:tcPr>
            <w:tcW w:type="pct" w:w="200"/>
            <w:vMerge w:val="continue"/>
          </w:tcPr>
          <w:p/>
        </w:tc>
        <w:tc>
          <w:tcPr>
            <w:tcW w:type="pct" w:w="335"/>
            <w:vMerge w:val="continue"/>
          </w:tcPr>
          <w:p/>
        </w:tc>
        <w:tc>
          <w:tcPr>
            <w:tcW w:type="pct" w:w="335"/>
            <w:vMerge w:val="continue"/>
          </w:tcPr>
          <w:p/>
        </w:tc>
      </w:tr>
      <w:tr>
        <w:trPr>
          <w:cantSplit w:val="on"/>
        </w:trPr>
        <w:tc>
          <w:tcPr>
            <w:tcW w:type="pct" w:w="105"/>
            <w:vMerge w:val="continue"/>
          </w:tcPr>
          <w:p/>
        </w:tc>
        <w:tc>
          <w:tcPr>
            <w:tcW w:type="pct" w:w="400"/>
            <w:vMerge w:val="continue"/>
          </w:tcPr>
          <w:p/>
        </w:tc>
        <w:tc>
          <w:tcPr>
            <w:tcW w:type="pct" w:w="330"/>
            <w:vAlign w:val="center"/>
          </w:tcPr>
          <w:p>
            <w:pPr>
              <w:spacing w:after="0"/>
              <w:jc w:val="center"/>
            </w:pPr>
            <w:r>
              <w:rPr>
                <w:rFonts w:ascii="Times New Roman" w:hAnsi="Times New Roman" w:cs="Times New Roman" w:eastAsia="Times New Roman"/>
                <w:sz w:val="14"/>
                <w:b w:val="off"/>
                <w:i w:val="off"/>
                <w:strike w:val="off"/>
              </w:rPr>
              <w:t>60.10</w:t>
            </w:r>
          </w:p>
        </w:tc>
        <w:tc>
          <w:tcPr>
            <w:tcW w:type="pct" w:w="445"/>
            <w:vAlign w:val="center"/>
          </w:tcPr>
          <w:p>
            <w:pPr>
              <w:spacing w:after="0"/>
              <w:jc w:val="center"/>
            </w:pPr>
            <w:r>
              <w:rPr>
                <w:rFonts w:ascii="Times New Roman" w:hAnsi="Times New Roman" w:cs="Times New Roman" w:eastAsia="Times New Roman"/>
                <w:sz w:val="14"/>
                <w:b w:val="off"/>
                <w:i w:val="off"/>
                <w:strike w:val="off"/>
              </w:rPr>
              <w:t>Услуги в области радиовещания</w:t>
            </w:r>
          </w:p>
        </w:tc>
        <w:tc>
          <w:tcPr>
            <w:tcW w:type="pct" w:w="300"/>
            <w:vMerge w:val="continue"/>
          </w:tcPr>
          <w:p/>
        </w:tc>
        <w:tc>
          <w:tcPr>
            <w:tcW w:type="pct" w:w="225"/>
            <w:vMerge w:val="continue"/>
          </w:tcPr>
          <w:p/>
        </w:tc>
        <w:tc>
          <w:tcPr>
            <w:tcW w:type="pct" w:w="475"/>
            <w:vMerge w:val="continue"/>
          </w:tcPr>
          <w:p/>
        </w:tc>
        <w:tc>
          <w:tcPr>
            <w:tcW w:type="pct" w:w="475"/>
            <w:vMerge w:val="continue"/>
          </w:tcPr>
          <w:p/>
        </w:tc>
        <w:tc>
          <w:tcPr>
            <w:tcW w:type="pct" w:w="475"/>
            <w:vMerge w:val="continue"/>
          </w:tcPr>
          <w:p/>
        </w:tc>
        <w:tc>
          <w:tcPr>
            <w:tcW w:type="pct" w:w="475"/>
            <w:vMerge w:val="continue"/>
          </w:tcPr>
          <w:p/>
        </w:tc>
        <w:tc>
          <w:tcPr>
            <w:tcW w:type="pct" w:w="475"/>
            <w:vMerge w:val="continue"/>
          </w:tcPr>
          <w:p/>
        </w:tc>
        <w:tc>
          <w:tcPr>
            <w:tcW w:type="pct" w:w="200"/>
            <w:vMerge w:val="continue"/>
          </w:tcPr>
          <w:p/>
        </w:tc>
        <w:tc>
          <w:tcPr>
            <w:tcW w:type="pct" w:w="335"/>
            <w:vMerge w:val="continue"/>
          </w:tcPr>
          <w:p/>
        </w:tc>
        <w:tc>
          <w:tcPr>
            <w:tcW w:type="pct" w:w="335"/>
            <w:vMerge w:val="continue"/>
          </w:tcPr>
          <w:p/>
        </w:tc>
      </w:tr>
      <w:tr>
        <w:trPr>
          <w:cantSplit w:val="on"/>
        </w:trPr>
        <w:tc>
          <w:tcPr>
            <w:tcW w:type="pct" w:w="105"/>
            <w:vMerge w:val="continue"/>
          </w:tcPr>
          <w:p/>
        </w:tc>
        <w:tc>
          <w:tcPr>
            <w:tcW w:type="pct" w:w="400"/>
            <w:vMerge w:val="continue"/>
          </w:tcPr>
          <w:p/>
        </w:tc>
        <w:tc>
          <w:tcPr>
            <w:tcW w:type="pct" w:w="330"/>
            <w:vAlign w:val="center"/>
          </w:tcPr>
          <w:p>
            <w:pPr>
              <w:spacing w:after="0"/>
              <w:jc w:val="center"/>
            </w:pPr>
            <w:r>
              <w:rPr>
                <w:rFonts w:ascii="Times New Roman" w:hAnsi="Times New Roman" w:cs="Times New Roman" w:eastAsia="Times New Roman"/>
                <w:sz w:val="14"/>
                <w:b w:val="off"/>
                <w:i w:val="off"/>
                <w:strike w:val="off"/>
              </w:rPr>
              <w:t>61.10</w:t>
            </w:r>
          </w:p>
        </w:tc>
        <w:tc>
          <w:tcPr>
            <w:tcW w:type="pct" w:w="445"/>
            <w:vAlign w:val="center"/>
          </w:tcPr>
          <w:p>
            <w:pPr>
              <w:spacing w:after="0"/>
              <w:jc w:val="center"/>
            </w:pPr>
            <w:r>
              <w:rPr>
                <w:rFonts w:ascii="Times New Roman" w:hAnsi="Times New Roman" w:cs="Times New Roman" w:eastAsia="Times New Roman"/>
                <w:sz w:val="14"/>
                <w:b w:val="off"/>
                <w:i w:val="off"/>
                <w:strike w:val="off"/>
              </w:rPr>
              <w:t>Услуги телекоммуникационные проводные</w:t>
            </w:r>
          </w:p>
        </w:tc>
        <w:tc>
          <w:tcPr>
            <w:tcW w:type="pct" w:w="300"/>
            <w:vMerge w:val="continue"/>
          </w:tcPr>
          <w:p/>
        </w:tc>
        <w:tc>
          <w:tcPr>
            <w:tcW w:type="pct" w:w="225"/>
            <w:vMerge w:val="continue"/>
          </w:tcPr>
          <w:p/>
        </w:tc>
        <w:tc>
          <w:tcPr>
            <w:tcW w:type="pct" w:w="475"/>
            <w:vMerge w:val="continue"/>
          </w:tcPr>
          <w:p/>
        </w:tc>
        <w:tc>
          <w:tcPr>
            <w:tcW w:type="pct" w:w="475"/>
            <w:vMerge w:val="continue"/>
          </w:tcPr>
          <w:p/>
        </w:tc>
        <w:tc>
          <w:tcPr>
            <w:tcW w:type="pct" w:w="475"/>
            <w:vMerge w:val="continue"/>
          </w:tcPr>
          <w:p/>
        </w:tc>
        <w:tc>
          <w:tcPr>
            <w:tcW w:type="pct" w:w="475"/>
            <w:vMerge w:val="continue"/>
          </w:tcPr>
          <w:p/>
        </w:tc>
        <w:tc>
          <w:tcPr>
            <w:tcW w:type="pct" w:w="475"/>
            <w:vMerge w:val="continue"/>
          </w:tcPr>
          <w:p/>
        </w:tc>
        <w:tc>
          <w:tcPr>
            <w:tcW w:type="pct" w:w="200"/>
            <w:vMerge w:val="continue"/>
          </w:tcPr>
          <w:p/>
        </w:tc>
        <w:tc>
          <w:tcPr>
            <w:tcW w:type="pct" w:w="335"/>
            <w:vMerge w:val="continue"/>
          </w:tcPr>
          <w:p/>
        </w:tc>
        <w:tc>
          <w:tcPr>
            <w:tcW w:type="pct" w:w="335"/>
            <w:vMerge w:val="continue"/>
          </w:tcPr>
          <w:p/>
        </w:tc>
      </w:tr>
      <w:tr>
        <w:trPr>
          <w:cantSplit w:val="on"/>
        </w:trPr>
        <w:tc>
          <w:tcPr>
            <w:tcW w:type="pct" w:w="105"/>
            <w:vMerge w:val="continue"/>
          </w:tcPr>
          <w:p/>
        </w:tc>
        <w:tc>
          <w:tcPr>
            <w:tcW w:type="pct" w:w="400"/>
            <w:vMerge w:val="continue"/>
          </w:tcPr>
          <w:p/>
        </w:tc>
        <w:tc>
          <w:tcPr>
            <w:tcW w:type="pct" w:w="330"/>
            <w:vAlign w:val="center"/>
          </w:tcPr>
          <w:p>
            <w:pPr>
              <w:spacing w:after="0"/>
              <w:jc w:val="center"/>
            </w:pPr>
            <w:r>
              <w:rPr>
                <w:rFonts w:ascii="Times New Roman" w:hAnsi="Times New Roman" w:cs="Times New Roman" w:eastAsia="Times New Roman"/>
                <w:sz w:val="14"/>
                <w:b w:val="off"/>
                <w:i w:val="off"/>
                <w:strike w:val="off"/>
              </w:rPr>
              <w:t>61.20</w:t>
            </w:r>
          </w:p>
        </w:tc>
        <w:tc>
          <w:tcPr>
            <w:tcW w:type="pct" w:w="445"/>
            <w:vAlign w:val="center"/>
          </w:tcPr>
          <w:p>
            <w:pPr>
              <w:spacing w:after="0"/>
              <w:jc w:val="center"/>
            </w:pPr>
            <w:r>
              <w:rPr>
                <w:rFonts w:ascii="Times New Roman" w:hAnsi="Times New Roman" w:cs="Times New Roman" w:eastAsia="Times New Roman"/>
                <w:sz w:val="14"/>
                <w:b w:val="off"/>
                <w:i w:val="off"/>
                <w:strike w:val="off"/>
              </w:rPr>
              <w:t>Услуги телекоммуникационные беспроводные</w:t>
            </w:r>
          </w:p>
        </w:tc>
        <w:tc>
          <w:tcPr>
            <w:tcW w:type="pct" w:w="300"/>
            <w:vMerge w:val="continue"/>
          </w:tcPr>
          <w:p/>
        </w:tc>
        <w:tc>
          <w:tcPr>
            <w:tcW w:type="pct" w:w="225"/>
            <w:vMerge w:val="continue"/>
          </w:tcPr>
          <w:p/>
        </w:tc>
        <w:tc>
          <w:tcPr>
            <w:tcW w:type="pct" w:w="475"/>
            <w:vMerge w:val="continue"/>
          </w:tcPr>
          <w:p/>
        </w:tc>
        <w:tc>
          <w:tcPr>
            <w:tcW w:type="pct" w:w="475"/>
            <w:vMerge w:val="continue"/>
          </w:tcPr>
          <w:p/>
        </w:tc>
        <w:tc>
          <w:tcPr>
            <w:tcW w:type="pct" w:w="475"/>
            <w:vMerge w:val="continue"/>
          </w:tcPr>
          <w:p/>
        </w:tc>
        <w:tc>
          <w:tcPr>
            <w:tcW w:type="pct" w:w="475"/>
            <w:vMerge w:val="continue"/>
          </w:tcPr>
          <w:p/>
        </w:tc>
        <w:tc>
          <w:tcPr>
            <w:tcW w:type="pct" w:w="475"/>
            <w:vMerge w:val="continue"/>
          </w:tcPr>
          <w:p/>
        </w:tc>
        <w:tc>
          <w:tcPr>
            <w:tcW w:type="pct" w:w="200"/>
            <w:vMerge w:val="continue"/>
          </w:tcPr>
          <w:p/>
        </w:tc>
        <w:tc>
          <w:tcPr>
            <w:tcW w:type="pct" w:w="335"/>
            <w:vMerge w:val="continue"/>
          </w:tcPr>
          <w:p/>
        </w:tc>
        <w:tc>
          <w:tcPr>
            <w:tcW w:type="pct" w:w="335"/>
            <w:vMerge w:val="continue"/>
          </w:tcPr>
          <w:p/>
        </w:tc>
      </w:tr>
      <w:tr>
        <w:trPr>
          <w:cantSplit w:val="on"/>
        </w:trPr>
        <w:tc>
          <w:tcPr>
            <w:tcW w:type="pct" w:w="105"/>
            <w:vMerge w:val="continue"/>
          </w:tcPr>
          <w:p/>
        </w:tc>
        <w:tc>
          <w:tcPr>
            <w:tcW w:type="pct" w:w="400"/>
            <w:vMerge w:val="continue"/>
          </w:tcPr>
          <w:p/>
        </w:tc>
        <w:tc>
          <w:tcPr>
            <w:tcW w:type="pct" w:w="330"/>
            <w:vAlign w:val="center"/>
          </w:tcPr>
          <w:p>
            <w:pPr>
              <w:spacing w:after="0"/>
              <w:jc w:val="center"/>
            </w:pPr>
            <w:r>
              <w:rPr>
                <w:rFonts w:ascii="Times New Roman" w:hAnsi="Times New Roman" w:cs="Times New Roman" w:eastAsia="Times New Roman"/>
                <w:sz w:val="14"/>
                <w:b w:val="off"/>
                <w:i w:val="off"/>
                <w:strike w:val="off"/>
              </w:rPr>
              <w:t>61.30</w:t>
            </w:r>
          </w:p>
        </w:tc>
        <w:tc>
          <w:tcPr>
            <w:tcW w:type="pct" w:w="445"/>
            <w:vAlign w:val="center"/>
          </w:tcPr>
          <w:p>
            <w:pPr>
              <w:spacing w:after="0"/>
              <w:jc w:val="center"/>
            </w:pPr>
            <w:r>
              <w:rPr>
                <w:rFonts w:ascii="Times New Roman" w:hAnsi="Times New Roman" w:cs="Times New Roman" w:eastAsia="Times New Roman"/>
                <w:sz w:val="14"/>
                <w:b w:val="off"/>
                <w:i w:val="off"/>
                <w:strike w:val="off"/>
              </w:rPr>
              <w:t>Услуги спутниковой связи</w:t>
            </w:r>
          </w:p>
        </w:tc>
        <w:tc>
          <w:tcPr>
            <w:tcW w:type="pct" w:w="300"/>
            <w:vMerge w:val="continue"/>
          </w:tcPr>
          <w:p/>
        </w:tc>
        <w:tc>
          <w:tcPr>
            <w:tcW w:type="pct" w:w="225"/>
            <w:vMerge w:val="continue"/>
          </w:tcPr>
          <w:p/>
        </w:tc>
        <w:tc>
          <w:tcPr>
            <w:tcW w:type="pct" w:w="475"/>
            <w:vMerge w:val="continue"/>
          </w:tcPr>
          <w:p/>
        </w:tc>
        <w:tc>
          <w:tcPr>
            <w:tcW w:type="pct" w:w="475"/>
            <w:vMerge w:val="continue"/>
          </w:tcPr>
          <w:p/>
        </w:tc>
        <w:tc>
          <w:tcPr>
            <w:tcW w:type="pct" w:w="475"/>
            <w:vMerge w:val="continue"/>
          </w:tcPr>
          <w:p/>
        </w:tc>
        <w:tc>
          <w:tcPr>
            <w:tcW w:type="pct" w:w="475"/>
            <w:vMerge w:val="continue"/>
          </w:tcPr>
          <w:p/>
        </w:tc>
        <w:tc>
          <w:tcPr>
            <w:tcW w:type="pct" w:w="475"/>
            <w:vMerge w:val="continue"/>
          </w:tcPr>
          <w:p/>
        </w:tc>
        <w:tc>
          <w:tcPr>
            <w:tcW w:type="pct" w:w="200"/>
            <w:vMerge w:val="continue"/>
          </w:tcPr>
          <w:p/>
        </w:tc>
        <w:tc>
          <w:tcPr>
            <w:tcW w:type="pct" w:w="335"/>
            <w:vMerge w:val="continue"/>
          </w:tcPr>
          <w:p/>
        </w:tc>
        <w:tc>
          <w:tcPr>
            <w:tcW w:type="pct" w:w="335"/>
            <w:vMerge w:val="continue"/>
          </w:tcPr>
          <w:p/>
        </w:tc>
      </w:tr>
      <w:tr>
        <w:trPr>
          <w:cantSplit w:val="on"/>
        </w:trPr>
        <w:tc>
          <w:tcPr>
            <w:tcW w:type="pct" w:w="105"/>
            <w:vMerge w:val="continue"/>
          </w:tcPr>
          <w:p/>
        </w:tc>
        <w:tc>
          <w:tcPr>
            <w:tcW w:type="pct" w:w="400"/>
            <w:vMerge w:val="continue"/>
          </w:tcPr>
          <w:p/>
        </w:tc>
        <w:tc>
          <w:tcPr>
            <w:tcW w:type="pct" w:w="330"/>
            <w:vAlign w:val="center"/>
          </w:tcPr>
          <w:p>
            <w:pPr>
              <w:spacing w:after="0"/>
              <w:jc w:val="center"/>
            </w:pPr>
            <w:r>
              <w:rPr>
                <w:rFonts w:ascii="Times New Roman" w:hAnsi="Times New Roman" w:cs="Times New Roman" w:eastAsia="Times New Roman"/>
                <w:sz w:val="14"/>
                <w:b w:val="off"/>
                <w:i w:val="off"/>
                <w:strike w:val="off"/>
              </w:rPr>
              <w:t>61.90</w:t>
            </w:r>
          </w:p>
        </w:tc>
        <w:tc>
          <w:tcPr>
            <w:tcW w:type="pct" w:w="445"/>
            <w:vAlign w:val="center"/>
          </w:tcPr>
          <w:p>
            <w:pPr>
              <w:spacing w:after="0"/>
              <w:jc w:val="center"/>
            </w:pPr>
            <w:r>
              <w:rPr>
                <w:rFonts w:ascii="Times New Roman" w:hAnsi="Times New Roman" w:cs="Times New Roman" w:eastAsia="Times New Roman"/>
                <w:sz w:val="14"/>
                <w:b w:val="off"/>
                <w:i w:val="off"/>
                <w:strike w:val="off"/>
              </w:rPr>
              <w:t>Услуги телекоммуникационные прочие</w:t>
            </w:r>
          </w:p>
        </w:tc>
        <w:tc>
          <w:tcPr>
            <w:tcW w:type="pct" w:w="300"/>
            <w:vMerge w:val="continue"/>
          </w:tcPr>
          <w:p/>
        </w:tc>
        <w:tc>
          <w:tcPr>
            <w:tcW w:type="pct" w:w="225"/>
            <w:vMerge w:val="continue"/>
          </w:tcPr>
          <w:p/>
        </w:tc>
        <w:tc>
          <w:tcPr>
            <w:tcW w:type="pct" w:w="475"/>
            <w:vMerge w:val="continue"/>
          </w:tcPr>
          <w:p/>
        </w:tc>
        <w:tc>
          <w:tcPr>
            <w:tcW w:type="pct" w:w="475"/>
            <w:vMerge w:val="continue"/>
          </w:tcPr>
          <w:p/>
        </w:tc>
        <w:tc>
          <w:tcPr>
            <w:tcW w:type="pct" w:w="475"/>
            <w:vMerge w:val="continue"/>
          </w:tcPr>
          <w:p/>
        </w:tc>
        <w:tc>
          <w:tcPr>
            <w:tcW w:type="pct" w:w="475"/>
            <w:vMerge w:val="continue"/>
          </w:tcPr>
          <w:p/>
        </w:tc>
        <w:tc>
          <w:tcPr>
            <w:tcW w:type="pct" w:w="475"/>
            <w:vMerge w:val="continue"/>
          </w:tcPr>
          <w:p/>
        </w:tc>
        <w:tc>
          <w:tcPr>
            <w:tcW w:type="pct" w:w="200"/>
            <w:vMerge w:val="continue"/>
          </w:tcPr>
          <w:p/>
        </w:tc>
        <w:tc>
          <w:tcPr>
            <w:tcW w:type="pct" w:w="335"/>
            <w:vMerge w:val="continue"/>
          </w:tcPr>
          <w:p/>
        </w:tc>
        <w:tc>
          <w:tcPr>
            <w:tcW w:type="pct" w:w="335"/>
            <w:vMerge w:val="continue"/>
          </w:tcPr>
          <w:p/>
        </w:tc>
      </w:tr>
      <w:tr>
        <w:trPr>
          <w:cantSplit w:val="on"/>
        </w:trPr>
        <w:tc>
          <w:tcPr>
            <w:tcW w:type="pct" w:w="105"/>
            <w:vMerge w:val="continue"/>
          </w:tcPr>
          <w:p/>
        </w:tc>
        <w:tc>
          <w:tcPr>
            <w:tcW w:type="pct" w:w="400"/>
            <w:vMerge w:val="continue"/>
          </w:tcPr>
          <w:p/>
        </w:tc>
        <w:tc>
          <w:tcPr>
            <w:tcW w:type="pct" w:w="330"/>
            <w:vAlign w:val="center"/>
          </w:tcPr>
          <w:p>
            <w:pPr>
              <w:spacing w:after="0"/>
              <w:jc w:val="center"/>
            </w:pPr>
            <w:r>
              <w:rPr>
                <w:rFonts w:ascii="Times New Roman" w:hAnsi="Times New Roman" w:cs="Times New Roman" w:eastAsia="Times New Roman"/>
                <w:sz w:val="14"/>
                <w:b w:val="off"/>
                <w:i w:val="off"/>
                <w:strike w:val="off"/>
              </w:rPr>
              <w:t>62.02</w:t>
            </w:r>
          </w:p>
        </w:tc>
        <w:tc>
          <w:tcPr>
            <w:tcW w:type="pct" w:w="445"/>
            <w:vAlign w:val="center"/>
          </w:tcPr>
          <w:p>
            <w:pPr>
              <w:spacing w:after="0"/>
              <w:jc w:val="center"/>
            </w:pPr>
            <w:r>
              <w:rPr>
                <w:rFonts w:ascii="Times New Roman" w:hAnsi="Times New Roman" w:cs="Times New Roman" w:eastAsia="Times New Roman"/>
                <w:sz w:val="14"/>
                <w:b w:val="off"/>
                <w:i w:val="off"/>
                <w:strike w:val="off"/>
              </w:rPr>
              <w:t>Услуги консультативные, связанные с компьютерной техникой</w:t>
            </w:r>
          </w:p>
        </w:tc>
        <w:tc>
          <w:tcPr>
            <w:tcW w:type="pct" w:w="300"/>
            <w:vMerge w:val="continue"/>
          </w:tcPr>
          <w:p/>
        </w:tc>
        <w:tc>
          <w:tcPr>
            <w:tcW w:type="pct" w:w="225"/>
            <w:vMerge w:val="continue"/>
          </w:tcPr>
          <w:p/>
        </w:tc>
        <w:tc>
          <w:tcPr>
            <w:tcW w:type="pct" w:w="475"/>
            <w:vMerge w:val="continue"/>
          </w:tcPr>
          <w:p/>
        </w:tc>
        <w:tc>
          <w:tcPr>
            <w:tcW w:type="pct" w:w="475"/>
            <w:vMerge w:val="continue"/>
          </w:tcPr>
          <w:p/>
        </w:tc>
        <w:tc>
          <w:tcPr>
            <w:tcW w:type="pct" w:w="475"/>
            <w:vMerge w:val="continue"/>
          </w:tcPr>
          <w:p/>
        </w:tc>
        <w:tc>
          <w:tcPr>
            <w:tcW w:type="pct" w:w="475"/>
            <w:vMerge w:val="continue"/>
          </w:tcPr>
          <w:p/>
        </w:tc>
        <w:tc>
          <w:tcPr>
            <w:tcW w:type="pct" w:w="475"/>
            <w:vMerge w:val="continue"/>
          </w:tcPr>
          <w:p/>
        </w:tc>
        <w:tc>
          <w:tcPr>
            <w:tcW w:type="pct" w:w="200"/>
            <w:vMerge w:val="continue"/>
          </w:tcPr>
          <w:p/>
        </w:tc>
        <w:tc>
          <w:tcPr>
            <w:tcW w:type="pct" w:w="335"/>
            <w:vMerge w:val="continue"/>
          </w:tcPr>
          <w:p/>
        </w:tc>
        <w:tc>
          <w:tcPr>
            <w:tcW w:type="pct" w:w="335"/>
            <w:vMerge w:val="continue"/>
          </w:tcPr>
          <w:p/>
        </w:tc>
      </w:tr>
      <w:tr>
        <w:trPr>
          <w:cantSplit w:val="on"/>
        </w:trPr>
        <w:tc>
          <w:tcPr>
            <w:tcW w:type="pct" w:w="105"/>
            <w:vMerge w:val="continue"/>
          </w:tcPr>
          <w:p/>
        </w:tc>
        <w:tc>
          <w:tcPr>
            <w:tcW w:type="pct" w:w="400"/>
            <w:vMerge w:val="continue"/>
          </w:tcPr>
          <w:p/>
        </w:tc>
        <w:tc>
          <w:tcPr>
            <w:tcW w:type="pct" w:w="330"/>
            <w:vAlign w:val="center"/>
          </w:tcPr>
          <w:p>
            <w:pPr>
              <w:spacing w:after="0"/>
              <w:jc w:val="center"/>
            </w:pPr>
            <w:r>
              <w:rPr>
                <w:rFonts w:ascii="Times New Roman" w:hAnsi="Times New Roman" w:cs="Times New Roman" w:eastAsia="Times New Roman"/>
                <w:sz w:val="14"/>
                <w:b w:val="off"/>
                <w:i w:val="off"/>
                <w:strike w:val="off"/>
              </w:rPr>
              <w:t>63.11</w:t>
            </w:r>
          </w:p>
        </w:tc>
        <w:tc>
          <w:tcPr>
            <w:tcW w:type="pct" w:w="445"/>
            <w:vAlign w:val="center"/>
          </w:tcPr>
          <w:p>
            <w:pPr>
              <w:spacing w:after="0"/>
              <w:jc w:val="center"/>
            </w:pPr>
            <w:r>
              <w:rPr>
                <w:rFonts w:ascii="Times New Roman" w:hAnsi="Times New Roman" w:cs="Times New Roman" w:eastAsia="Times New Roman"/>
                <w:sz w:val="14"/>
                <w:b w:val="off"/>
                <w:i w:val="off"/>
                <w:strike w:val="off"/>
              </w:rPr>
              <w:t>Услуги по обработке данных, размещению и взаимосвязанные услуги</w:t>
            </w:r>
          </w:p>
        </w:tc>
        <w:tc>
          <w:tcPr>
            <w:tcW w:type="pct" w:w="300"/>
            <w:vMerge w:val="continue"/>
          </w:tcPr>
          <w:p/>
        </w:tc>
        <w:tc>
          <w:tcPr>
            <w:tcW w:type="pct" w:w="225"/>
            <w:vMerge w:val="continue"/>
          </w:tcPr>
          <w:p/>
        </w:tc>
        <w:tc>
          <w:tcPr>
            <w:tcW w:type="pct" w:w="475"/>
            <w:vMerge w:val="continue"/>
          </w:tcPr>
          <w:p/>
        </w:tc>
        <w:tc>
          <w:tcPr>
            <w:tcW w:type="pct" w:w="475"/>
            <w:vMerge w:val="continue"/>
          </w:tcPr>
          <w:p/>
        </w:tc>
        <w:tc>
          <w:tcPr>
            <w:tcW w:type="pct" w:w="475"/>
            <w:vMerge w:val="continue"/>
          </w:tcPr>
          <w:p/>
        </w:tc>
        <w:tc>
          <w:tcPr>
            <w:tcW w:type="pct" w:w="475"/>
            <w:vMerge w:val="continue"/>
          </w:tcPr>
          <w:p/>
        </w:tc>
        <w:tc>
          <w:tcPr>
            <w:tcW w:type="pct" w:w="475"/>
            <w:vMerge w:val="continue"/>
          </w:tcPr>
          <w:p/>
        </w:tc>
        <w:tc>
          <w:tcPr>
            <w:tcW w:type="pct" w:w="200"/>
            <w:vMerge w:val="continue"/>
          </w:tcPr>
          <w:p/>
        </w:tc>
        <w:tc>
          <w:tcPr>
            <w:tcW w:type="pct" w:w="335"/>
            <w:vMerge w:val="continue"/>
          </w:tcPr>
          <w:p/>
        </w:tc>
        <w:tc>
          <w:tcPr>
            <w:tcW w:type="pct" w:w="335"/>
            <w:vMerge w:val="continue"/>
          </w:tcPr>
          <w:p/>
        </w:tc>
      </w:tr>
      <w:tr>
        <w:trPr>
          <w:cantSplit w:val="on"/>
        </w:trPr>
        <w:tc>
          <w:tcPr>
            <w:tcW w:type="pct" w:w="105"/>
            <w:vMerge w:val="continue"/>
          </w:tcPr>
          <w:p/>
        </w:tc>
        <w:tc>
          <w:tcPr>
            <w:tcW w:type="pct" w:w="400"/>
            <w:vMerge w:val="continue"/>
          </w:tcPr>
          <w:p/>
        </w:tc>
        <w:tc>
          <w:tcPr>
            <w:tcW w:type="pct" w:w="330"/>
            <w:vAlign w:val="center"/>
          </w:tcPr>
          <w:p>
            <w:pPr>
              <w:spacing w:after="0"/>
              <w:jc w:val="center"/>
            </w:pPr>
            <w:r>
              <w:rPr>
                <w:rFonts w:ascii="Times New Roman" w:hAnsi="Times New Roman" w:cs="Times New Roman" w:eastAsia="Times New Roman"/>
                <w:sz w:val="14"/>
                <w:b w:val="off"/>
                <w:i w:val="off"/>
                <w:strike w:val="off"/>
              </w:rPr>
              <w:t>63.12</w:t>
            </w:r>
          </w:p>
        </w:tc>
        <w:tc>
          <w:tcPr>
            <w:tcW w:type="pct" w:w="445"/>
            <w:vAlign w:val="center"/>
          </w:tcPr>
          <w:p>
            <w:pPr>
              <w:spacing w:after="0"/>
              <w:jc w:val="center"/>
            </w:pPr>
            <w:r>
              <w:rPr>
                <w:rFonts w:ascii="Times New Roman" w:hAnsi="Times New Roman" w:cs="Times New Roman" w:eastAsia="Times New Roman"/>
                <w:sz w:val="14"/>
                <w:b w:val="off"/>
                <w:i w:val="off"/>
                <w:strike w:val="off"/>
              </w:rPr>
              <w:t>Содержание порталов в информационно-коммуникационной сети Интернет</w:t>
            </w:r>
          </w:p>
        </w:tc>
        <w:tc>
          <w:tcPr>
            <w:tcW w:type="pct" w:w="300"/>
            <w:vMerge w:val="continue"/>
          </w:tcPr>
          <w:p/>
        </w:tc>
        <w:tc>
          <w:tcPr>
            <w:tcW w:type="pct" w:w="225"/>
            <w:vMerge w:val="continue"/>
          </w:tcPr>
          <w:p/>
        </w:tc>
        <w:tc>
          <w:tcPr>
            <w:tcW w:type="pct" w:w="475"/>
            <w:vMerge w:val="continue"/>
          </w:tcPr>
          <w:p/>
        </w:tc>
        <w:tc>
          <w:tcPr>
            <w:tcW w:type="pct" w:w="475"/>
            <w:vMerge w:val="continue"/>
          </w:tcPr>
          <w:p/>
        </w:tc>
        <w:tc>
          <w:tcPr>
            <w:tcW w:type="pct" w:w="475"/>
            <w:vMerge w:val="continue"/>
          </w:tcPr>
          <w:p/>
        </w:tc>
        <w:tc>
          <w:tcPr>
            <w:tcW w:type="pct" w:w="475"/>
            <w:vMerge w:val="continue"/>
          </w:tcPr>
          <w:p/>
        </w:tc>
        <w:tc>
          <w:tcPr>
            <w:tcW w:type="pct" w:w="475"/>
            <w:vMerge w:val="continue"/>
          </w:tcPr>
          <w:p/>
        </w:tc>
        <w:tc>
          <w:tcPr>
            <w:tcW w:type="pct" w:w="200"/>
            <w:vMerge w:val="continue"/>
          </w:tcPr>
          <w:p/>
        </w:tc>
        <w:tc>
          <w:tcPr>
            <w:tcW w:type="pct" w:w="335"/>
            <w:vMerge w:val="continue"/>
          </w:tcPr>
          <w:p/>
        </w:tc>
        <w:tc>
          <w:tcPr>
            <w:tcW w:type="pct" w:w="335"/>
            <w:vMerge w:val="continue"/>
          </w:tcPr>
          <w:p/>
        </w:tc>
      </w:tr>
      <w:tr>
        <w:trPr>
          <w:cantSplit w:val="on"/>
        </w:trPr>
        <w:tc>
          <w:tcPr>
            <w:tcW w:type="pct" w:w="105"/>
            <w:vMerge w:val="continue"/>
          </w:tcPr>
          <w:p/>
        </w:tc>
        <w:tc>
          <w:tcPr>
            <w:tcW w:type="pct" w:w="400"/>
            <w:vMerge w:val="continue"/>
          </w:tcPr>
          <w:p/>
        </w:tc>
        <w:tc>
          <w:tcPr>
            <w:tcW w:type="pct" w:w="330"/>
            <w:vAlign w:val="center"/>
          </w:tcPr>
          <w:p>
            <w:pPr>
              <w:spacing w:after="0"/>
              <w:jc w:val="center"/>
            </w:pPr>
            <w:r>
              <w:rPr>
                <w:rFonts w:ascii="Times New Roman" w:hAnsi="Times New Roman" w:cs="Times New Roman" w:eastAsia="Times New Roman"/>
                <w:sz w:val="14"/>
                <w:b w:val="off"/>
                <w:i w:val="off"/>
                <w:strike w:val="off"/>
              </w:rPr>
              <w:t>77.29</w:t>
            </w:r>
          </w:p>
        </w:tc>
        <w:tc>
          <w:tcPr>
            <w:tcW w:type="pct" w:w="445"/>
            <w:vAlign w:val="center"/>
          </w:tcPr>
          <w:p>
            <w:pPr>
              <w:spacing w:after="0"/>
              <w:jc w:val="center"/>
            </w:pPr>
            <w:r>
              <w:rPr>
                <w:rFonts w:ascii="Times New Roman" w:hAnsi="Times New Roman" w:cs="Times New Roman" w:eastAsia="Times New Roman"/>
                <w:sz w:val="14"/>
                <w:b w:val="off"/>
                <w:i w:val="off"/>
                <w:strike w:val="off"/>
              </w:rPr>
              <w:t>Услуги по прокату прочих бытовых изделий и предметов личного пользования</w:t>
            </w:r>
          </w:p>
        </w:tc>
        <w:tc>
          <w:tcPr>
            <w:tcW w:type="pct" w:w="300"/>
            <w:vMerge w:val="continue"/>
          </w:tcPr>
          <w:p/>
        </w:tc>
        <w:tc>
          <w:tcPr>
            <w:tcW w:type="pct" w:w="225"/>
            <w:vMerge w:val="continue"/>
          </w:tcPr>
          <w:p/>
        </w:tc>
        <w:tc>
          <w:tcPr>
            <w:tcW w:type="pct" w:w="475"/>
            <w:vMerge w:val="continue"/>
          </w:tcPr>
          <w:p/>
        </w:tc>
        <w:tc>
          <w:tcPr>
            <w:tcW w:type="pct" w:w="475"/>
            <w:vMerge w:val="continue"/>
          </w:tcPr>
          <w:p/>
        </w:tc>
        <w:tc>
          <w:tcPr>
            <w:tcW w:type="pct" w:w="475"/>
            <w:vMerge w:val="continue"/>
          </w:tcPr>
          <w:p/>
        </w:tc>
        <w:tc>
          <w:tcPr>
            <w:tcW w:type="pct" w:w="475"/>
            <w:vMerge w:val="continue"/>
          </w:tcPr>
          <w:p/>
        </w:tc>
        <w:tc>
          <w:tcPr>
            <w:tcW w:type="pct" w:w="475"/>
            <w:vMerge w:val="continue"/>
          </w:tcPr>
          <w:p/>
        </w:tc>
        <w:tc>
          <w:tcPr>
            <w:tcW w:type="pct" w:w="200"/>
            <w:vMerge w:val="continue"/>
          </w:tcPr>
          <w:p/>
        </w:tc>
        <w:tc>
          <w:tcPr>
            <w:tcW w:type="pct" w:w="335"/>
            <w:vMerge w:val="continue"/>
          </w:tcPr>
          <w:p/>
        </w:tc>
        <w:tc>
          <w:tcPr>
            <w:tcW w:type="pct" w:w="335"/>
            <w:vMerge w:val="continue"/>
          </w:tcPr>
          <w:p/>
        </w:tc>
      </w:tr>
      <w:tr>
        <w:trPr>
          <w:cantSplit w:val="on"/>
        </w:trPr>
        <w:tc>
          <w:tcPr>
            <w:tcW w:type="pct" w:w="105"/>
            <w:vMerge w:val="continue"/>
          </w:tcPr>
          <w:p/>
        </w:tc>
        <w:tc>
          <w:tcPr>
            <w:tcW w:type="pct" w:w="400"/>
            <w:vMerge w:val="continue"/>
          </w:tcPr>
          <w:p/>
        </w:tc>
        <w:tc>
          <w:tcPr>
            <w:tcW w:type="pct" w:w="330"/>
            <w:vAlign w:val="center"/>
          </w:tcPr>
          <w:p>
            <w:pPr>
              <w:spacing w:after="0"/>
              <w:jc w:val="center"/>
            </w:pPr>
            <w:r>
              <w:rPr>
                <w:rFonts w:ascii="Times New Roman" w:hAnsi="Times New Roman" w:cs="Times New Roman" w:eastAsia="Times New Roman"/>
                <w:sz w:val="14"/>
                <w:b w:val="off"/>
                <w:i w:val="off"/>
                <w:strike w:val="off"/>
              </w:rPr>
              <w:t>82.20</w:t>
            </w:r>
          </w:p>
        </w:tc>
        <w:tc>
          <w:tcPr>
            <w:tcW w:type="pct" w:w="445"/>
            <w:vAlign w:val="center"/>
          </w:tcPr>
          <w:p>
            <w:pPr>
              <w:spacing w:after="0"/>
              <w:jc w:val="center"/>
            </w:pPr>
            <w:r>
              <w:rPr>
                <w:rFonts w:ascii="Times New Roman" w:hAnsi="Times New Roman" w:cs="Times New Roman" w:eastAsia="Times New Roman"/>
                <w:sz w:val="14"/>
                <w:b w:val="off"/>
                <w:i w:val="off"/>
                <w:strike w:val="off"/>
              </w:rPr>
              <w:t>Услуги центров обработки телефонных вызовов</w:t>
            </w:r>
          </w:p>
        </w:tc>
        <w:tc>
          <w:tcPr>
            <w:tcW w:type="pct" w:w="300"/>
            <w:vMerge w:val="continue"/>
          </w:tcPr>
          <w:p/>
        </w:tc>
        <w:tc>
          <w:tcPr>
            <w:tcW w:type="pct" w:w="225"/>
            <w:vMerge w:val="continue"/>
          </w:tcPr>
          <w:p/>
        </w:tc>
        <w:tc>
          <w:tcPr>
            <w:tcW w:type="pct" w:w="475"/>
            <w:vMerge w:val="continue"/>
          </w:tcPr>
          <w:p/>
        </w:tc>
        <w:tc>
          <w:tcPr>
            <w:tcW w:type="pct" w:w="475"/>
            <w:vMerge w:val="continue"/>
          </w:tcPr>
          <w:p/>
        </w:tc>
        <w:tc>
          <w:tcPr>
            <w:tcW w:type="pct" w:w="475"/>
            <w:vMerge w:val="continue"/>
          </w:tcPr>
          <w:p/>
        </w:tc>
        <w:tc>
          <w:tcPr>
            <w:tcW w:type="pct" w:w="475"/>
            <w:vMerge w:val="continue"/>
          </w:tcPr>
          <w:p/>
        </w:tc>
        <w:tc>
          <w:tcPr>
            <w:tcW w:type="pct" w:w="475"/>
            <w:vMerge w:val="continue"/>
          </w:tcPr>
          <w:p/>
        </w:tc>
        <w:tc>
          <w:tcPr>
            <w:tcW w:type="pct" w:w="200"/>
            <w:vMerge w:val="continue"/>
          </w:tcPr>
          <w:p/>
        </w:tc>
        <w:tc>
          <w:tcPr>
            <w:tcW w:type="pct" w:w="335"/>
            <w:vMerge w:val="continue"/>
          </w:tcPr>
          <w:p/>
        </w:tc>
        <w:tc>
          <w:tcPr>
            <w:tcW w:type="pct" w:w="335"/>
            <w:vMerge w:val="continue"/>
          </w:tcPr>
          <w:p/>
        </w:tc>
      </w:tr>
      <w:tr>
        <w:trPr>
          <w:cantSplit w:val="on"/>
        </w:trPr>
        <w:tc>
          <w:tcPr>
            <w:tcW w:type="pct" w:w="105"/>
            <w:vMerge w:val="continue"/>
          </w:tcPr>
          <w:p/>
        </w:tc>
        <w:tc>
          <w:tcPr>
            <w:tcW w:type="pct" w:w="400"/>
            <w:vMerge w:val="continue"/>
          </w:tcPr>
          <w:p/>
        </w:tc>
        <w:tc>
          <w:tcPr>
            <w:tcW w:type="pct" w:w="330"/>
            <w:vAlign w:val="center"/>
          </w:tcPr>
          <w:p>
            <w:pPr>
              <w:spacing w:after="0"/>
              <w:jc w:val="center"/>
            </w:pPr>
            <w:r>
              <w:rPr>
                <w:rFonts w:ascii="Times New Roman" w:hAnsi="Times New Roman" w:cs="Times New Roman" w:eastAsia="Times New Roman"/>
                <w:sz w:val="14"/>
                <w:b w:val="off"/>
                <w:i w:val="off"/>
                <w:strike w:val="off"/>
              </w:rPr>
              <w:t>82.30</w:t>
            </w:r>
          </w:p>
        </w:tc>
        <w:tc>
          <w:tcPr>
            <w:tcW w:type="pct" w:w="445"/>
            <w:vAlign w:val="center"/>
          </w:tcPr>
          <w:p>
            <w:pPr>
              <w:spacing w:after="0"/>
              <w:jc w:val="center"/>
            </w:pPr>
            <w:r>
              <w:rPr>
                <w:rFonts w:ascii="Times New Roman" w:hAnsi="Times New Roman" w:cs="Times New Roman" w:eastAsia="Times New Roman"/>
                <w:sz w:val="14"/>
                <w:b w:val="off"/>
                <w:i w:val="off"/>
                <w:strike w:val="off"/>
              </w:rPr>
              <w:t>Услуги по организации конференций и торговых выставок</w:t>
            </w:r>
          </w:p>
        </w:tc>
        <w:tc>
          <w:tcPr>
            <w:tcW w:type="pct" w:w="300"/>
            <w:vMerge w:val="continue"/>
          </w:tcPr>
          <w:p/>
        </w:tc>
        <w:tc>
          <w:tcPr>
            <w:tcW w:type="pct" w:w="225"/>
            <w:vMerge w:val="continue"/>
          </w:tcPr>
          <w:p/>
        </w:tc>
        <w:tc>
          <w:tcPr>
            <w:tcW w:type="pct" w:w="475"/>
            <w:vMerge w:val="continue"/>
          </w:tcPr>
          <w:p/>
        </w:tc>
        <w:tc>
          <w:tcPr>
            <w:tcW w:type="pct" w:w="475"/>
            <w:vMerge w:val="continue"/>
          </w:tcPr>
          <w:p/>
        </w:tc>
        <w:tc>
          <w:tcPr>
            <w:tcW w:type="pct" w:w="475"/>
            <w:vMerge w:val="continue"/>
          </w:tcPr>
          <w:p/>
        </w:tc>
        <w:tc>
          <w:tcPr>
            <w:tcW w:type="pct" w:w="475"/>
            <w:vMerge w:val="continue"/>
          </w:tcPr>
          <w:p/>
        </w:tc>
        <w:tc>
          <w:tcPr>
            <w:tcW w:type="pct" w:w="475"/>
            <w:vMerge w:val="continue"/>
          </w:tcPr>
          <w:p/>
        </w:tc>
        <w:tc>
          <w:tcPr>
            <w:tcW w:type="pct" w:w="200"/>
            <w:vMerge w:val="continue"/>
          </w:tcPr>
          <w:p/>
        </w:tc>
        <w:tc>
          <w:tcPr>
            <w:tcW w:type="pct" w:w="335"/>
            <w:vMerge w:val="continue"/>
          </w:tcPr>
          <w:p/>
        </w:tc>
        <w:tc>
          <w:tcPr>
            <w:tcW w:type="pct" w:w="335"/>
            <w:vMerge w:val="continue"/>
          </w:tcPr>
          <w:p/>
        </w:tc>
      </w:tr>
      <w:tr>
        <w:trPr>
          <w:cantSplit w:val="on"/>
        </w:trPr>
        <w:tc>
          <w:tcPr>
            <w:tcW w:type="pct" w:w="105"/>
            <w:vMerge w:val="continue"/>
          </w:tcPr>
          <w:p/>
        </w:tc>
        <w:tc>
          <w:tcPr>
            <w:tcW w:type="pct" w:w="400"/>
            <w:vMerge w:val="continue"/>
          </w:tcPr>
          <w:p/>
        </w:tc>
        <w:tc>
          <w:tcPr>
            <w:tcW w:type="pct" w:w="330"/>
            <w:vAlign w:val="center"/>
          </w:tcPr>
          <w:p>
            <w:pPr>
              <w:spacing w:after="0"/>
              <w:jc w:val="center"/>
            </w:pPr>
            <w:r>
              <w:rPr>
                <w:rFonts w:ascii="Times New Roman" w:hAnsi="Times New Roman" w:cs="Times New Roman" w:eastAsia="Times New Roman"/>
                <w:sz w:val="14"/>
                <w:b w:val="off"/>
                <w:i w:val="off"/>
                <w:strike w:val="off"/>
              </w:rPr>
              <w:t>84.22</w:t>
            </w:r>
          </w:p>
        </w:tc>
        <w:tc>
          <w:tcPr>
            <w:tcW w:type="pct" w:w="445"/>
            <w:vAlign w:val="center"/>
          </w:tcPr>
          <w:p>
            <w:pPr>
              <w:spacing w:after="0"/>
              <w:jc w:val="center"/>
            </w:pPr>
            <w:r>
              <w:rPr>
                <w:rFonts w:ascii="Times New Roman" w:hAnsi="Times New Roman" w:cs="Times New Roman" w:eastAsia="Times New Roman"/>
                <w:sz w:val="14"/>
                <w:b w:val="off"/>
                <w:i w:val="off"/>
                <w:strike w:val="off"/>
              </w:rPr>
              <w:t>Услуги в области обеспечения военной безопасности</w:t>
            </w:r>
          </w:p>
        </w:tc>
        <w:tc>
          <w:tcPr>
            <w:tcW w:type="pct" w:w="300"/>
            <w:vMerge w:val="continue"/>
          </w:tcPr>
          <w:p/>
        </w:tc>
        <w:tc>
          <w:tcPr>
            <w:tcW w:type="pct" w:w="225"/>
            <w:vMerge w:val="continue"/>
          </w:tcPr>
          <w:p/>
        </w:tc>
        <w:tc>
          <w:tcPr>
            <w:tcW w:type="pct" w:w="475"/>
            <w:vMerge w:val="continue"/>
          </w:tcPr>
          <w:p/>
        </w:tc>
        <w:tc>
          <w:tcPr>
            <w:tcW w:type="pct" w:w="475"/>
            <w:vMerge w:val="continue"/>
          </w:tcPr>
          <w:p/>
        </w:tc>
        <w:tc>
          <w:tcPr>
            <w:tcW w:type="pct" w:w="475"/>
            <w:vMerge w:val="continue"/>
          </w:tcPr>
          <w:p/>
        </w:tc>
        <w:tc>
          <w:tcPr>
            <w:tcW w:type="pct" w:w="475"/>
            <w:vMerge w:val="continue"/>
          </w:tcPr>
          <w:p/>
        </w:tc>
        <w:tc>
          <w:tcPr>
            <w:tcW w:type="pct" w:w="475"/>
            <w:vMerge w:val="continue"/>
          </w:tcPr>
          <w:p/>
        </w:tc>
        <w:tc>
          <w:tcPr>
            <w:tcW w:type="pct" w:w="200"/>
            <w:vMerge w:val="continue"/>
          </w:tcPr>
          <w:p/>
        </w:tc>
        <w:tc>
          <w:tcPr>
            <w:tcW w:type="pct" w:w="335"/>
            <w:vMerge w:val="continue"/>
          </w:tcPr>
          <w:p/>
        </w:tc>
        <w:tc>
          <w:tcPr>
            <w:tcW w:type="pct" w:w="335"/>
            <w:vMerge w:val="continue"/>
          </w:tcPr>
          <w:p/>
        </w:tc>
      </w:tr>
      <w:tr>
        <w:trPr>
          <w:cantSplit w:val="on"/>
        </w:trPr>
        <w:tc>
          <w:tcPr>
            <w:tcW w:type="pct" w:w="105"/>
            <w:vMerge w:val="continue"/>
          </w:tcPr>
          <w:p/>
        </w:tc>
        <w:tc>
          <w:tcPr>
            <w:tcW w:type="pct" w:w="400"/>
            <w:vMerge w:val="continue"/>
          </w:tcPr>
          <w:p/>
        </w:tc>
        <w:tc>
          <w:tcPr>
            <w:tcW w:type="pct" w:w="330"/>
            <w:vAlign w:val="center"/>
          </w:tcPr>
          <w:p>
            <w:pPr>
              <w:spacing w:after="0"/>
              <w:jc w:val="center"/>
            </w:pPr>
            <w:r>
              <w:rPr>
                <w:rFonts w:ascii="Times New Roman" w:hAnsi="Times New Roman" w:cs="Times New Roman" w:eastAsia="Times New Roman"/>
                <w:sz w:val="14"/>
                <w:b w:val="off"/>
                <w:i w:val="off"/>
                <w:strike w:val="off"/>
              </w:rPr>
              <w:t>96.09</w:t>
            </w:r>
          </w:p>
        </w:tc>
        <w:tc>
          <w:tcPr>
            <w:tcW w:type="pct" w:w="445"/>
            <w:vAlign w:val="center"/>
          </w:tcPr>
          <w:p>
            <w:pPr>
              <w:spacing w:after="0"/>
              <w:jc w:val="center"/>
            </w:pPr>
            <w:r>
              <w:rPr>
                <w:rFonts w:ascii="Times New Roman" w:hAnsi="Times New Roman" w:cs="Times New Roman" w:eastAsia="Times New Roman"/>
                <w:sz w:val="14"/>
                <w:b w:val="off"/>
                <w:i w:val="off"/>
                <w:strike w:val="off"/>
              </w:rPr>
              <w:t>Услуги персональные прочие, не включенные в другие группировки</w:t>
            </w:r>
          </w:p>
        </w:tc>
        <w:tc>
          <w:tcPr>
            <w:tcW w:type="pct" w:w="300"/>
            <w:vMerge w:val="continue"/>
          </w:tcPr>
          <w:p/>
        </w:tc>
        <w:tc>
          <w:tcPr>
            <w:tcW w:type="pct" w:w="225"/>
            <w:vMerge w:val="continue"/>
          </w:tcPr>
          <w:p/>
        </w:tc>
        <w:tc>
          <w:tcPr>
            <w:tcW w:type="pct" w:w="475"/>
            <w:vMerge w:val="continue"/>
          </w:tcPr>
          <w:p/>
        </w:tc>
        <w:tc>
          <w:tcPr>
            <w:tcW w:type="pct" w:w="475"/>
            <w:vMerge w:val="continue"/>
          </w:tcPr>
          <w:p/>
        </w:tc>
        <w:tc>
          <w:tcPr>
            <w:tcW w:type="pct" w:w="475"/>
            <w:vMerge w:val="continue"/>
          </w:tcPr>
          <w:p/>
        </w:tc>
        <w:tc>
          <w:tcPr>
            <w:tcW w:type="pct" w:w="475"/>
            <w:vMerge w:val="continue"/>
          </w:tcPr>
          <w:p/>
        </w:tc>
        <w:tc>
          <w:tcPr>
            <w:tcW w:type="pct" w:w="475"/>
            <w:vMerge w:val="continue"/>
          </w:tcPr>
          <w:p/>
        </w:tc>
        <w:tc>
          <w:tcPr>
            <w:tcW w:type="pct" w:w="200"/>
            <w:vMerge w:val="continue"/>
          </w:tcPr>
          <w:p/>
        </w:tc>
        <w:tc>
          <w:tcPr>
            <w:tcW w:type="pct" w:w="335"/>
            <w:vMerge w:val="continue"/>
          </w:tcPr>
          <w:p/>
        </w:tc>
        <w:tc>
          <w:tcPr>
            <w:tcW w:type="pct" w:w="335"/>
            <w:vMerge w:val="continue"/>
          </w:tcPr>
          <w:p/>
        </w:tc>
      </w:tr>
      <w:tr>
        <w:trPr>
          <w:cantSplit w:val="on"/>
        </w:trPr>
        <w:tc>
          <w:tcPr>
            <w:tcW w:type="pct" w:w="105"/>
            <w:vAlign w:val="center"/>
          </w:tcPr>
          <w:p>
            <w:pPr>
              <w:spacing w:after="0"/>
              <w:jc w:val="center"/>
            </w:pPr>
            <w:r>
              <w:rPr>
                <w:rFonts w:ascii="Times New Roman" w:hAnsi="Times New Roman" w:cs="Times New Roman" w:eastAsia="Times New Roman"/>
                <w:sz w:val="14"/>
                <w:b w:val="off"/>
                <w:i w:val="off"/>
                <w:strike w:val="off"/>
              </w:rPr>
              <w:t>3</w:t>
            </w:r>
          </w:p>
        </w:tc>
        <w:tc>
          <w:tcPr>
            <w:tcW w:type="pct" w:w="400"/>
            <w:vAlign w:val="center"/>
          </w:tcPr>
          <w:p>
            <w:pPr>
              <w:spacing w:after="0"/>
              <w:jc w:val="center"/>
            </w:pPr>
            <w:r>
              <w:rPr>
                <w:rFonts w:ascii="Times New Roman" w:hAnsi="Times New Roman" w:cs="Times New Roman" w:eastAsia="Times New Roman"/>
                <w:sz w:val="14"/>
                <w:b w:val="off"/>
                <w:i w:val="off"/>
                <w:strike w:val="off"/>
              </w:rPr>
              <w:t>262591500517059150100100010000000000</w:t>
            </w:r>
          </w:p>
        </w:tc>
        <w:tc>
          <w:tcPr>
            <w:tcW w:type="pct" w:w="330"/>
            <w:vAlign w:val="center"/>
          </w:tcPr>
          <w:p>
            <w:pPr>
              <w:spacing w:after="0"/>
              <w:jc w:val="center"/>
            </w:pPr>
            <w:r>
              <w:rPr>
                <w:rFonts w:ascii="Times New Roman" w:hAnsi="Times New Roman" w:cs="Times New Roman" w:eastAsia="Times New Roman"/>
                <w:sz w:val="14"/>
                <w:b w:val="off"/>
                <w:i w:val="off"/>
                <w:strike w:val="off"/>
              </w:rPr>
              <w:t>-</w:t>
            </w:r>
          </w:p>
        </w:tc>
        <w:tc>
          <w:tcPr>
            <w:tcW w:type="pct" w:w="445"/>
            <w:vAlign w:val="center"/>
          </w:tcPr>
          <w:p>
            <w:pPr>
              <w:spacing w:after="0"/>
              <w:jc w:val="center"/>
            </w:pPr>
            <w:r>
              <w:rPr>
                <w:rFonts w:ascii="Times New Roman" w:hAnsi="Times New Roman" w:cs="Times New Roman" w:eastAsia="Times New Roman"/>
                <w:sz w:val="14"/>
                <w:b w:val="off"/>
                <w:i w:val="off"/>
                <w:strike w:val="off"/>
              </w:rPr>
              <w:t>-</w:t>
            </w:r>
          </w:p>
        </w:tc>
        <w:tc>
          <w:tcPr>
            <w:tcW w:type="pct" w:w="300"/>
            <w:vAlign w:val="center"/>
          </w:tcPr>
          <w:p>
            <w:pPr>
              <w:spacing w:after="0"/>
              <w:jc w:val="center"/>
            </w:pPr>
            <w:r>
              <w:rPr>
                <w:rFonts w:ascii="Times New Roman" w:hAnsi="Times New Roman" w:cs="Times New Roman" w:eastAsia="Times New Roman"/>
                <w:sz w:val="14"/>
                <w:b w:val="off"/>
                <w:i w:val="off"/>
                <w:strike w:val="off"/>
              </w:rPr>
              <w:t>Закупки на сумму, не превышающую 600 тыс.руб. (по п.4 ч.1 ст.93)</w:t>
            </w:r>
          </w:p>
        </w:tc>
        <w:tc>
          <w:tcPr>
            <w:tcW w:type="pct" w:w="225"/>
            <w:vAlign w:val="center"/>
          </w:tcPr>
          <w:p>
            <w:pPr>
              <w:spacing w:after="0"/>
              <w:jc w:val="center"/>
            </w:pPr>
            <w:r>
              <w:rPr>
                <w:rFonts w:ascii="Times New Roman" w:hAnsi="Times New Roman" w:cs="Times New Roman" w:eastAsia="Times New Roman"/>
                <w:sz w:val="14"/>
                <w:b w:val="off"/>
                <w:i w:val="off"/>
                <w:strike w:val="off"/>
              </w:rPr>
              <w:t>2026</w:t>
            </w:r>
          </w:p>
        </w:tc>
        <w:tc>
          <w:tcPr>
            <w:tcW w:type="pct" w:w="475"/>
            <w:vAlign w:val="center"/>
          </w:tcPr>
          <w:p>
            <w:pPr>
              <w:spacing w:after="0"/>
              <w:jc w:val="center"/>
            </w:pPr>
            <w:r>
              <w:rPr>
                <w:rFonts w:ascii="Times New Roman" w:hAnsi="Times New Roman" w:cs="Times New Roman" w:eastAsia="Times New Roman"/>
                <w:sz w:val="14"/>
                <w:b w:val="off"/>
                <w:i w:val="off"/>
                <w:strike w:val="off"/>
              </w:rPr>
              <w:t>140 122,00</w:t>
            </w:r>
          </w:p>
        </w:tc>
        <w:tc>
          <w:tcPr>
            <w:tcW w:type="pct" w:w="475"/>
            <w:vAlign w:val="center"/>
          </w:tcPr>
          <w:p>
            <w:pPr>
              <w:spacing w:after="0"/>
              <w:jc w:val="center"/>
            </w:pPr>
            <w:r>
              <w:rPr>
                <w:rFonts w:ascii="Times New Roman" w:hAnsi="Times New Roman" w:cs="Times New Roman" w:eastAsia="Times New Roman"/>
                <w:sz w:val="14"/>
                <w:b w:val="off"/>
                <w:i w:val="off"/>
                <w:strike w:val="off"/>
              </w:rPr>
              <w:t>140 122,00</w:t>
            </w:r>
          </w:p>
        </w:tc>
        <w:tc>
          <w:tcPr>
            <w:tcW w:type="pct" w:w="475"/>
            <w:vAlign w:val="center"/>
          </w:tcPr>
          <w:p>
            <w:pPr>
              <w:spacing w:after="0"/>
              <w:jc w:val="center"/>
            </w:pPr>
            <w:r>
              <w:rPr>
                <w:rFonts w:ascii="Times New Roman" w:hAnsi="Times New Roman" w:cs="Times New Roman" w:eastAsia="Times New Roman"/>
                <w:sz w:val="14"/>
                <w:b w:val="off"/>
                <w:i w:val="off"/>
                <w:strike w:val="off"/>
              </w:rPr>
              <w:t>0,00</w:t>
            </w:r>
          </w:p>
        </w:tc>
        <w:tc>
          <w:tcPr>
            <w:tcW w:type="pct" w:w="475"/>
            <w:vAlign w:val="center"/>
          </w:tcPr>
          <w:p>
            <w:pPr>
              <w:spacing w:after="0"/>
              <w:jc w:val="center"/>
            </w:pPr>
            <w:r>
              <w:rPr>
                <w:rFonts w:ascii="Times New Roman" w:hAnsi="Times New Roman" w:cs="Times New Roman" w:eastAsia="Times New Roman"/>
                <w:sz w:val="14"/>
                <w:b w:val="off"/>
                <w:i w:val="off"/>
                <w:strike w:val="off"/>
              </w:rPr>
              <w:t>0,00</w:t>
            </w:r>
          </w:p>
        </w:tc>
        <w:tc>
          <w:tcPr>
            <w:tcW w:type="pct" w:w="475"/>
            <w:vAlign w:val="center"/>
          </w:tcPr>
          <w:p>
            <w:pPr>
              <w:spacing w:after="0"/>
              <w:jc w:val="center"/>
            </w:pPr>
            <w:r>
              <w:rPr>
                <w:rFonts w:ascii="Times New Roman" w:hAnsi="Times New Roman" w:cs="Times New Roman" w:eastAsia="Times New Roman"/>
                <w:sz w:val="14"/>
                <w:b w:val="off"/>
                <w:i w:val="off"/>
                <w:strike w:val="off"/>
              </w:rPr>
              <w:t>0,00</w:t>
            </w:r>
          </w:p>
        </w:tc>
        <w:tc>
          <w:tcPr>
            <w:tcW w:type="pct" w:w="200"/>
            <w:vAlign w:val="center"/>
          </w:tcPr>
          <w:p>
            <w:pPr>
              <w:spacing w:after="0"/>
              <w:jc w:val="center"/>
            </w:pPr>
            <w:r>
              <w:rPr>
                <w:rFonts w:ascii="Times New Roman" w:hAnsi="Times New Roman" w:cs="Times New Roman" w:eastAsia="Times New Roman"/>
                <w:sz w:val="14"/>
                <w:b w:val="off"/>
                <w:i w:val="off"/>
                <w:strike w:val="off"/>
              </w:rPr>
              <w:t>Нет</w:t>
            </w:r>
          </w:p>
        </w:tc>
        <w:tc>
          <w:tcPr>
            <w:tcW w:type="pct" w:w="335"/>
            <w:vAlign w:val="center"/>
          </w:tcPr>
          <w:p>
            <w:pPr>
              <w:spacing w:after="0"/>
              <w:jc w:val="center"/>
            </w:pPr>
            <w:r>
              <w:rPr>
                <w:rFonts w:ascii="Times New Roman" w:hAnsi="Times New Roman" w:cs="Times New Roman" w:eastAsia="Times New Roman"/>
                <w:sz w:val="14"/>
                <w:b w:val="off"/>
                <w:i w:val="off"/>
                <w:strike w:val="off"/>
              </w:rPr>
              <w:t>-</w:t>
            </w:r>
          </w:p>
        </w:tc>
        <w:tc>
          <w:tcPr>
            <w:tcW w:type="pct" w:w="335"/>
            <w:vAlign w:val="center"/>
          </w:tcPr>
          <w:p>
            <w:pPr>
              <w:spacing w:after="0"/>
              <w:jc w:val="center"/>
            </w:pPr>
            <w:r>
              <w:rPr>
                <w:rFonts w:ascii="Times New Roman" w:hAnsi="Times New Roman" w:cs="Times New Roman" w:eastAsia="Times New Roman"/>
                <w:sz w:val="14"/>
                <w:b w:val="off"/>
                <w:i w:val="off"/>
                <w:strike w:val="off"/>
              </w:rPr>
              <w:t>-</w:t>
            </w:r>
          </w:p>
        </w:tc>
      </w:tr>
      <w:tr>
        <w:trPr>
          <w:cantSplit w:val="on"/>
        </w:trPr>
        <w:tc>
          <w:tcPr>
            <w:tcW w:type="pct" w:w="105"/>
            <w:vAlign w:val="center"/>
          </w:tcPr>
          <w:p>
            <w:pPr>
              <w:spacing w:after="0"/>
              <w:jc w:val="center"/>
            </w:pPr>
            <w:r>
              <w:rPr>
                <w:rFonts w:ascii="Times New Roman" w:hAnsi="Times New Roman" w:cs="Times New Roman" w:eastAsia="Times New Roman"/>
                <w:sz w:val="14"/>
                <w:b w:val="off"/>
                <w:i w:val="off"/>
                <w:strike w:val="off"/>
              </w:rPr>
              <w:t>4</w:t>
            </w:r>
          </w:p>
        </w:tc>
        <w:tc>
          <w:tcPr>
            <w:tcW w:type="pct" w:w="400"/>
            <w:vAlign w:val="center"/>
          </w:tcPr>
          <w:p>
            <w:pPr>
              <w:spacing w:after="0"/>
              <w:jc w:val="center"/>
            </w:pPr>
            <w:r>
              <w:rPr>
                <w:rFonts w:ascii="Times New Roman" w:hAnsi="Times New Roman" w:cs="Times New Roman" w:eastAsia="Times New Roman"/>
                <w:sz w:val="14"/>
                <w:b w:val="off"/>
                <w:i w:val="off"/>
                <w:strike w:val="off"/>
              </w:rPr>
              <w:t>282591500517059150100100010000000000</w:t>
            </w:r>
          </w:p>
        </w:tc>
        <w:tc>
          <w:tcPr>
            <w:tcW w:type="pct" w:w="330"/>
            <w:vAlign w:val="center"/>
          </w:tcPr>
          <w:p>
            <w:pPr>
              <w:spacing w:after="0"/>
              <w:jc w:val="center"/>
            </w:pPr>
            <w:r>
              <w:rPr>
                <w:rFonts w:ascii="Times New Roman" w:hAnsi="Times New Roman" w:cs="Times New Roman" w:eastAsia="Times New Roman"/>
                <w:sz w:val="14"/>
                <w:b w:val="off"/>
                <w:i w:val="off"/>
                <w:strike w:val="off"/>
              </w:rPr>
              <w:t>-</w:t>
            </w:r>
          </w:p>
        </w:tc>
        <w:tc>
          <w:tcPr>
            <w:tcW w:type="pct" w:w="445"/>
            <w:vAlign w:val="center"/>
          </w:tcPr>
          <w:p>
            <w:pPr>
              <w:spacing w:after="0"/>
              <w:jc w:val="center"/>
            </w:pPr>
            <w:r>
              <w:rPr>
                <w:rFonts w:ascii="Times New Roman" w:hAnsi="Times New Roman" w:cs="Times New Roman" w:eastAsia="Times New Roman"/>
                <w:sz w:val="14"/>
                <w:b w:val="off"/>
                <w:i w:val="off"/>
                <w:strike w:val="off"/>
              </w:rPr>
              <w:t>-</w:t>
            </w:r>
          </w:p>
        </w:tc>
        <w:tc>
          <w:tcPr>
            <w:tcW w:type="pct" w:w="300"/>
            <w:vAlign w:val="center"/>
          </w:tcPr>
          <w:p>
            <w:pPr>
              <w:spacing w:after="0"/>
              <w:jc w:val="center"/>
            </w:pPr>
            <w:r>
              <w:rPr>
                <w:rFonts w:ascii="Times New Roman" w:hAnsi="Times New Roman" w:cs="Times New Roman" w:eastAsia="Times New Roman"/>
                <w:sz w:val="14"/>
                <w:b w:val="off"/>
                <w:i w:val="off"/>
                <w:strike w:val="off"/>
              </w:rPr>
              <w:t>Закупки на сумму, не превышающую 600 тыс.руб. (по п.4 ч.1 ст.93)</w:t>
            </w:r>
          </w:p>
        </w:tc>
        <w:tc>
          <w:tcPr>
            <w:tcW w:type="pct" w:w="225"/>
            <w:vAlign w:val="center"/>
          </w:tcPr>
          <w:p>
            <w:pPr>
              <w:spacing w:after="0"/>
              <w:jc w:val="center"/>
            </w:pPr>
            <w:r>
              <w:rPr>
                <w:rFonts w:ascii="Times New Roman" w:hAnsi="Times New Roman" w:cs="Times New Roman" w:eastAsia="Times New Roman"/>
                <w:sz w:val="14"/>
                <w:b w:val="off"/>
                <w:i w:val="off"/>
                <w:strike w:val="off"/>
              </w:rPr>
              <w:t>2028</w:t>
            </w:r>
          </w:p>
        </w:tc>
        <w:tc>
          <w:tcPr>
            <w:tcW w:type="pct" w:w="475"/>
            <w:vAlign w:val="center"/>
          </w:tcPr>
          <w:p>
            <w:pPr>
              <w:spacing w:after="0"/>
              <w:jc w:val="center"/>
            </w:pPr>
            <w:r>
              <w:rPr>
                <w:rFonts w:ascii="Times New Roman" w:hAnsi="Times New Roman" w:cs="Times New Roman" w:eastAsia="Times New Roman"/>
                <w:sz w:val="14"/>
                <w:b w:val="off"/>
                <w:i w:val="off"/>
                <w:strike w:val="off"/>
              </w:rPr>
              <w:t>152 334,00</w:t>
            </w:r>
          </w:p>
        </w:tc>
        <w:tc>
          <w:tcPr>
            <w:tcW w:type="pct" w:w="475"/>
            <w:vAlign w:val="center"/>
          </w:tcPr>
          <w:p>
            <w:pPr>
              <w:spacing w:after="0"/>
              <w:jc w:val="center"/>
            </w:pPr>
            <w:r>
              <w:rPr>
                <w:rFonts w:ascii="Times New Roman" w:hAnsi="Times New Roman" w:cs="Times New Roman" w:eastAsia="Times New Roman"/>
                <w:sz w:val="14"/>
                <w:b w:val="off"/>
                <w:i w:val="off"/>
                <w:strike w:val="off"/>
              </w:rPr>
              <w:t>0,00</w:t>
            </w:r>
          </w:p>
        </w:tc>
        <w:tc>
          <w:tcPr>
            <w:tcW w:type="pct" w:w="475"/>
            <w:vAlign w:val="center"/>
          </w:tcPr>
          <w:p>
            <w:pPr>
              <w:spacing w:after="0"/>
              <w:jc w:val="center"/>
            </w:pPr>
            <w:r>
              <w:rPr>
                <w:rFonts w:ascii="Times New Roman" w:hAnsi="Times New Roman" w:cs="Times New Roman" w:eastAsia="Times New Roman"/>
                <w:sz w:val="14"/>
                <w:b w:val="off"/>
                <w:i w:val="off"/>
                <w:strike w:val="off"/>
              </w:rPr>
              <w:t>0,00</w:t>
            </w:r>
          </w:p>
        </w:tc>
        <w:tc>
          <w:tcPr>
            <w:tcW w:type="pct" w:w="475"/>
            <w:vAlign w:val="center"/>
          </w:tcPr>
          <w:p>
            <w:pPr>
              <w:spacing w:after="0"/>
              <w:jc w:val="center"/>
            </w:pPr>
            <w:r>
              <w:rPr>
                <w:rFonts w:ascii="Times New Roman" w:hAnsi="Times New Roman" w:cs="Times New Roman" w:eastAsia="Times New Roman"/>
                <w:sz w:val="14"/>
                <w:b w:val="off"/>
                <w:i w:val="off"/>
                <w:strike w:val="off"/>
              </w:rPr>
              <w:t>152 334,00</w:t>
            </w:r>
          </w:p>
        </w:tc>
        <w:tc>
          <w:tcPr>
            <w:tcW w:type="pct" w:w="475"/>
            <w:vAlign w:val="center"/>
          </w:tcPr>
          <w:p>
            <w:pPr>
              <w:spacing w:after="0"/>
              <w:jc w:val="center"/>
            </w:pPr>
            <w:r>
              <w:rPr>
                <w:rFonts w:ascii="Times New Roman" w:hAnsi="Times New Roman" w:cs="Times New Roman" w:eastAsia="Times New Roman"/>
                <w:sz w:val="14"/>
                <w:b w:val="off"/>
                <w:i w:val="off"/>
                <w:strike w:val="off"/>
              </w:rPr>
              <w:t>0,00</w:t>
            </w:r>
          </w:p>
        </w:tc>
        <w:tc>
          <w:tcPr>
            <w:tcW w:type="pct" w:w="200"/>
            <w:vAlign w:val="center"/>
          </w:tcPr>
          <w:p>
            <w:pPr>
              <w:spacing w:after="0"/>
              <w:jc w:val="center"/>
            </w:pPr>
            <w:r>
              <w:rPr>
                <w:rFonts w:ascii="Times New Roman" w:hAnsi="Times New Roman" w:cs="Times New Roman" w:eastAsia="Times New Roman"/>
                <w:sz w:val="14"/>
                <w:b w:val="off"/>
                <w:i w:val="off"/>
                <w:strike w:val="off"/>
              </w:rPr>
              <w:t>Нет</w:t>
            </w:r>
          </w:p>
        </w:tc>
        <w:tc>
          <w:tcPr>
            <w:tcW w:type="pct" w:w="335"/>
            <w:vAlign w:val="center"/>
          </w:tcPr>
          <w:p>
            <w:pPr>
              <w:spacing w:after="0"/>
              <w:jc w:val="center"/>
            </w:pPr>
            <w:r>
              <w:rPr>
                <w:rFonts w:ascii="Times New Roman" w:hAnsi="Times New Roman" w:cs="Times New Roman" w:eastAsia="Times New Roman"/>
                <w:sz w:val="14"/>
                <w:b w:val="off"/>
                <w:i w:val="off"/>
                <w:strike w:val="off"/>
              </w:rPr>
              <w:t>-</w:t>
            </w:r>
          </w:p>
        </w:tc>
        <w:tc>
          <w:tcPr>
            <w:tcW w:type="pct" w:w="335"/>
            <w:vAlign w:val="center"/>
          </w:tcPr>
          <w:p>
            <w:pPr>
              <w:spacing w:after="0"/>
              <w:jc w:val="center"/>
            </w:pPr>
            <w:r>
              <w:rPr>
                <w:rFonts w:ascii="Times New Roman" w:hAnsi="Times New Roman" w:cs="Times New Roman" w:eastAsia="Times New Roman"/>
                <w:sz w:val="14"/>
                <w:b w:val="off"/>
                <w:i w:val="off"/>
                <w:strike w:val="off"/>
              </w:rPr>
              <w:t>-</w:t>
            </w:r>
          </w:p>
        </w:tc>
      </w:tr>
      <w:tr>
        <w:trPr>
          <w:cantSplit w:val="on"/>
        </w:trPr>
        <w:tc>
          <w:tcPr>
            <w:tcW w:type="pct" w:w="105"/>
            <w:vAlign w:val="center"/>
          </w:tcPr>
          <w:p>
            <w:pPr>
              <w:spacing w:after="0"/>
              <w:jc w:val="center"/>
            </w:pPr>
            <w:r>
              <w:rPr>
                <w:rFonts w:ascii="Times New Roman" w:hAnsi="Times New Roman" w:cs="Times New Roman" w:eastAsia="Times New Roman"/>
                <w:sz w:val="14"/>
                <w:b w:val="off"/>
                <w:i w:val="off"/>
                <w:strike w:val="off"/>
              </w:rPr>
              <w:t>5</w:t>
            </w:r>
          </w:p>
        </w:tc>
        <w:tc>
          <w:tcPr>
            <w:tcW w:type="pct" w:w="400"/>
            <w:vAlign w:val="center"/>
          </w:tcPr>
          <w:p>
            <w:pPr>
              <w:spacing w:after="0"/>
              <w:jc w:val="center"/>
            </w:pPr>
            <w:r>
              <w:rPr>
                <w:rFonts w:ascii="Times New Roman" w:hAnsi="Times New Roman" w:cs="Times New Roman" w:eastAsia="Times New Roman"/>
                <w:sz w:val="14"/>
                <w:b w:val="off"/>
                <w:i w:val="off"/>
                <w:strike w:val="off"/>
              </w:rPr>
              <w:t>272591500517059150100100010000000000</w:t>
            </w:r>
          </w:p>
        </w:tc>
        <w:tc>
          <w:tcPr>
            <w:tcW w:type="pct" w:w="330"/>
            <w:vAlign w:val="center"/>
          </w:tcPr>
          <w:p>
            <w:pPr>
              <w:spacing w:after="0"/>
              <w:jc w:val="center"/>
            </w:pPr>
            <w:r>
              <w:rPr>
                <w:rFonts w:ascii="Times New Roman" w:hAnsi="Times New Roman" w:cs="Times New Roman" w:eastAsia="Times New Roman"/>
                <w:sz w:val="14"/>
                <w:b w:val="off"/>
                <w:i w:val="off"/>
                <w:strike w:val="off"/>
              </w:rPr>
              <w:t>-</w:t>
            </w:r>
          </w:p>
        </w:tc>
        <w:tc>
          <w:tcPr>
            <w:tcW w:type="pct" w:w="445"/>
            <w:vAlign w:val="center"/>
          </w:tcPr>
          <w:p>
            <w:pPr>
              <w:spacing w:after="0"/>
              <w:jc w:val="center"/>
            </w:pPr>
            <w:r>
              <w:rPr>
                <w:rFonts w:ascii="Times New Roman" w:hAnsi="Times New Roman" w:cs="Times New Roman" w:eastAsia="Times New Roman"/>
                <w:sz w:val="14"/>
                <w:b w:val="off"/>
                <w:i w:val="off"/>
                <w:strike w:val="off"/>
              </w:rPr>
              <w:t>-</w:t>
            </w:r>
          </w:p>
        </w:tc>
        <w:tc>
          <w:tcPr>
            <w:tcW w:type="pct" w:w="300"/>
            <w:vAlign w:val="center"/>
          </w:tcPr>
          <w:p>
            <w:pPr>
              <w:spacing w:after="0"/>
              <w:jc w:val="center"/>
            </w:pPr>
            <w:r>
              <w:rPr>
                <w:rFonts w:ascii="Times New Roman" w:hAnsi="Times New Roman" w:cs="Times New Roman" w:eastAsia="Times New Roman"/>
                <w:sz w:val="14"/>
                <w:b w:val="off"/>
                <w:i w:val="off"/>
                <w:strike w:val="off"/>
              </w:rPr>
              <w:t>Закупки на сумму, не превышающую 600 тыс.руб. (по п.4 ч.1 ст.93)</w:t>
            </w:r>
          </w:p>
        </w:tc>
        <w:tc>
          <w:tcPr>
            <w:tcW w:type="pct" w:w="225"/>
            <w:vAlign w:val="center"/>
          </w:tcPr>
          <w:p>
            <w:pPr>
              <w:spacing w:after="0"/>
              <w:jc w:val="center"/>
            </w:pPr>
            <w:r>
              <w:rPr>
                <w:rFonts w:ascii="Times New Roman" w:hAnsi="Times New Roman" w:cs="Times New Roman" w:eastAsia="Times New Roman"/>
                <w:sz w:val="14"/>
                <w:b w:val="off"/>
                <w:i w:val="off"/>
                <w:strike w:val="off"/>
              </w:rPr>
              <w:t>2027</w:t>
            </w:r>
          </w:p>
        </w:tc>
        <w:tc>
          <w:tcPr>
            <w:tcW w:type="pct" w:w="475"/>
            <w:vAlign w:val="center"/>
          </w:tcPr>
          <w:p>
            <w:pPr>
              <w:spacing w:after="0"/>
              <w:jc w:val="center"/>
            </w:pPr>
            <w:r>
              <w:rPr>
                <w:rFonts w:ascii="Times New Roman" w:hAnsi="Times New Roman" w:cs="Times New Roman" w:eastAsia="Times New Roman"/>
                <w:sz w:val="14"/>
                <w:b w:val="off"/>
                <w:i w:val="off"/>
                <w:strike w:val="off"/>
              </w:rPr>
              <w:t>152 334,00</w:t>
            </w:r>
          </w:p>
        </w:tc>
        <w:tc>
          <w:tcPr>
            <w:tcW w:type="pct" w:w="475"/>
            <w:vAlign w:val="center"/>
          </w:tcPr>
          <w:p>
            <w:pPr>
              <w:spacing w:after="0"/>
              <w:jc w:val="center"/>
            </w:pPr>
            <w:r>
              <w:rPr>
                <w:rFonts w:ascii="Times New Roman" w:hAnsi="Times New Roman" w:cs="Times New Roman" w:eastAsia="Times New Roman"/>
                <w:sz w:val="14"/>
                <w:b w:val="off"/>
                <w:i w:val="off"/>
                <w:strike w:val="off"/>
              </w:rPr>
              <w:t>0,00</w:t>
            </w:r>
          </w:p>
        </w:tc>
        <w:tc>
          <w:tcPr>
            <w:tcW w:type="pct" w:w="475"/>
            <w:vAlign w:val="center"/>
          </w:tcPr>
          <w:p>
            <w:pPr>
              <w:spacing w:after="0"/>
              <w:jc w:val="center"/>
            </w:pPr>
            <w:r>
              <w:rPr>
                <w:rFonts w:ascii="Times New Roman" w:hAnsi="Times New Roman" w:cs="Times New Roman" w:eastAsia="Times New Roman"/>
                <w:sz w:val="14"/>
                <w:b w:val="off"/>
                <w:i w:val="off"/>
                <w:strike w:val="off"/>
              </w:rPr>
              <w:t>152 334,00</w:t>
            </w:r>
          </w:p>
        </w:tc>
        <w:tc>
          <w:tcPr>
            <w:tcW w:type="pct" w:w="475"/>
            <w:vAlign w:val="center"/>
          </w:tcPr>
          <w:p>
            <w:pPr>
              <w:spacing w:after="0"/>
              <w:jc w:val="center"/>
            </w:pPr>
            <w:r>
              <w:rPr>
                <w:rFonts w:ascii="Times New Roman" w:hAnsi="Times New Roman" w:cs="Times New Roman" w:eastAsia="Times New Roman"/>
                <w:sz w:val="14"/>
                <w:b w:val="off"/>
                <w:i w:val="off"/>
                <w:strike w:val="off"/>
              </w:rPr>
              <w:t>0,00</w:t>
            </w:r>
          </w:p>
        </w:tc>
        <w:tc>
          <w:tcPr>
            <w:tcW w:type="pct" w:w="475"/>
            <w:vAlign w:val="center"/>
          </w:tcPr>
          <w:p>
            <w:pPr>
              <w:spacing w:after="0"/>
              <w:jc w:val="center"/>
            </w:pPr>
            <w:r>
              <w:rPr>
                <w:rFonts w:ascii="Times New Roman" w:hAnsi="Times New Roman" w:cs="Times New Roman" w:eastAsia="Times New Roman"/>
                <w:sz w:val="14"/>
                <w:b w:val="off"/>
                <w:i w:val="off"/>
                <w:strike w:val="off"/>
              </w:rPr>
              <w:t>0,00</w:t>
            </w:r>
          </w:p>
        </w:tc>
        <w:tc>
          <w:tcPr>
            <w:tcW w:type="pct" w:w="200"/>
            <w:vAlign w:val="center"/>
          </w:tcPr>
          <w:p>
            <w:pPr>
              <w:spacing w:after="0"/>
              <w:jc w:val="center"/>
            </w:pPr>
            <w:r>
              <w:rPr>
                <w:rFonts w:ascii="Times New Roman" w:hAnsi="Times New Roman" w:cs="Times New Roman" w:eastAsia="Times New Roman"/>
                <w:sz w:val="14"/>
                <w:b w:val="off"/>
                <w:i w:val="off"/>
                <w:strike w:val="off"/>
              </w:rPr>
              <w:t>Нет</w:t>
            </w:r>
          </w:p>
        </w:tc>
        <w:tc>
          <w:tcPr>
            <w:tcW w:type="pct" w:w="335"/>
            <w:vAlign w:val="center"/>
          </w:tcPr>
          <w:p>
            <w:pPr>
              <w:spacing w:after="0"/>
              <w:jc w:val="center"/>
            </w:pPr>
            <w:r>
              <w:rPr>
                <w:rFonts w:ascii="Times New Roman" w:hAnsi="Times New Roman" w:cs="Times New Roman" w:eastAsia="Times New Roman"/>
                <w:sz w:val="14"/>
                <w:b w:val="off"/>
                <w:i w:val="off"/>
                <w:strike w:val="off"/>
              </w:rPr>
              <w:t>-</w:t>
            </w:r>
          </w:p>
        </w:tc>
        <w:tc>
          <w:tcPr>
            <w:tcW w:type="pct" w:w="335"/>
            <w:vAlign w:val="center"/>
          </w:tcPr>
          <w:p>
            <w:pPr>
              <w:spacing w:after="0"/>
              <w:jc w:val="center"/>
            </w:pPr>
            <w:r>
              <w:rPr>
                <w:rFonts w:ascii="Times New Roman" w:hAnsi="Times New Roman" w:cs="Times New Roman" w:eastAsia="Times New Roman"/>
                <w:sz w:val="14"/>
                <w:b w:val="off"/>
                <w:i w:val="off"/>
                <w:strike w:val="off"/>
              </w:rPr>
              <w:t>-</w:t>
            </w:r>
          </w:p>
        </w:tc>
      </w:tr>
      <w:tr>
        <w:trPr>
          <w:cantSplit w:val="on"/>
        </w:trPr>
        <w:tc>
          <w:tcPr>
            <w:tcW w:type="pct" w:w="105"/>
            <w:hMerge w:val="restart"/>
            <w:vAlign w:val="center"/>
          </w:tcPr>
          <w:p>
            <w:pPr>
              <w:spacing w:after="0"/>
              <w:jc w:val="right"/>
            </w:pPr>
            <w:r>
              <w:rPr>
                <w:rFonts w:ascii="Times New Roman" w:hAnsi="Times New Roman" w:cs="Times New Roman" w:eastAsia="Times New Roman"/>
                <w:sz w:val="14"/>
                <w:b w:val="off"/>
                <w:i w:val="off"/>
                <w:strike w:val="off"/>
              </w:rPr>
              <w:t>Всего для осуществления закупок</w:t>
            </w:r>
          </w:p>
        </w:tc>
        <w:tc>
          <w:tcPr>
            <w:tcW w:type="pct" w:w="400"/>
            <w:hMerge w:val="continue"/>
          </w:tcPr>
          <w:p/>
        </w:tc>
        <w:tc>
          <w:tcPr>
            <w:tcW w:type="pct" w:w="330"/>
            <w:hMerge w:val="continue"/>
          </w:tcPr>
          <w:p/>
        </w:tc>
        <w:tc>
          <w:tcPr>
            <w:tcW w:type="pct" w:w="445"/>
            <w:hMerge w:val="continue"/>
          </w:tcPr>
          <w:p/>
        </w:tc>
        <w:tc>
          <w:tcPr>
            <w:tcW w:type="pct" w:w="300"/>
            <w:hMerge w:val="continue"/>
          </w:tcPr>
          <w:p/>
        </w:tc>
        <w:tc>
          <w:tcPr>
            <w:tcW w:type="pct" w:w="225"/>
            <w:hMerge w:val="continue"/>
          </w:tcPr>
          <w:p/>
        </w:tc>
        <w:tc>
          <w:tcPr>
            <w:tcW w:type="pct" w:w="475"/>
            <w:vAlign w:val="center"/>
          </w:tcPr>
          <w:p>
            <w:pPr>
              <w:spacing w:after="0"/>
              <w:jc w:val="center"/>
            </w:pPr>
            <w:r>
              <w:rPr>
                <w:rFonts w:ascii="Times New Roman" w:hAnsi="Times New Roman" w:cs="Times New Roman" w:eastAsia="Times New Roman"/>
                <w:sz w:val="14"/>
                <w:b w:val="off"/>
                <w:i w:val="off"/>
                <w:strike w:val="off"/>
              </w:rPr>
              <w:t>479 378,00</w:t>
            </w:r>
          </w:p>
        </w:tc>
        <w:tc>
          <w:tcPr>
            <w:tcW w:type="pct" w:w="475"/>
            <w:vAlign w:val="center"/>
          </w:tcPr>
          <w:p>
            <w:pPr>
              <w:spacing w:after="0"/>
              <w:jc w:val="center"/>
            </w:pPr>
            <w:r>
              <w:rPr>
                <w:rFonts w:ascii="Times New Roman" w:hAnsi="Times New Roman" w:cs="Times New Roman" w:eastAsia="Times New Roman"/>
                <w:sz w:val="14"/>
                <w:b w:val="off"/>
                <w:i w:val="off"/>
                <w:strike w:val="off"/>
              </w:rPr>
              <w:t>140 122,00</w:t>
            </w:r>
          </w:p>
        </w:tc>
        <w:tc>
          <w:tcPr>
            <w:tcW w:type="pct" w:w="475"/>
            <w:vAlign w:val="center"/>
          </w:tcPr>
          <w:p>
            <w:pPr>
              <w:spacing w:after="0"/>
              <w:jc w:val="center"/>
            </w:pPr>
            <w:r>
              <w:rPr>
                <w:rFonts w:ascii="Times New Roman" w:hAnsi="Times New Roman" w:cs="Times New Roman" w:eastAsia="Times New Roman"/>
                <w:sz w:val="14"/>
                <w:b w:val="off"/>
                <w:i w:val="off"/>
                <w:strike w:val="off"/>
              </w:rPr>
              <w:t>168 334,00</w:t>
            </w:r>
          </w:p>
        </w:tc>
        <w:tc>
          <w:tcPr>
            <w:tcW w:type="pct" w:w="475"/>
            <w:vAlign w:val="center"/>
          </w:tcPr>
          <w:p>
            <w:pPr>
              <w:spacing w:after="0"/>
              <w:jc w:val="center"/>
            </w:pPr>
            <w:r>
              <w:rPr>
                <w:rFonts w:ascii="Times New Roman" w:hAnsi="Times New Roman" w:cs="Times New Roman" w:eastAsia="Times New Roman"/>
                <w:sz w:val="14"/>
                <w:b w:val="off"/>
                <w:i w:val="off"/>
                <w:strike w:val="off"/>
              </w:rPr>
              <w:t>170 922,00</w:t>
            </w:r>
          </w:p>
        </w:tc>
        <w:tc>
          <w:tcPr>
            <w:tcW w:type="pct" w:w="475"/>
            <w:vAlign w:val="center"/>
          </w:tcPr>
          <w:p>
            <w:pPr>
              <w:spacing w:after="0"/>
              <w:jc w:val="center"/>
            </w:pPr>
            <w:r>
              <w:rPr>
                <w:rFonts w:ascii="Times New Roman" w:hAnsi="Times New Roman" w:cs="Times New Roman" w:eastAsia="Times New Roman"/>
                <w:sz w:val="14"/>
                <w:b w:val="off"/>
                <w:i w:val="off"/>
                <w:strike w:val="off"/>
              </w:rPr>
              <w:t>0,00</w:t>
            </w:r>
          </w:p>
        </w:tc>
        <w:tc>
          <w:tcPr>
            <w:tcW w:type="pct" w:w="200"/>
            <w:vAlign w:val="center"/>
          </w:tcPr>
          <w:p>
            <w:pPr>
              <w:spacing w:after="0"/>
              <w:jc w:val="center"/>
            </w:pPr>
            <w:r>
              <w:rPr>
                <w:rFonts w:ascii="Times New Roman" w:hAnsi="Times New Roman" w:cs="Times New Roman" w:eastAsia="Times New Roman"/>
                <w:sz w:val="14"/>
                <w:b w:val="off"/>
                <w:i w:val="off"/>
                <w:strike w:val="off"/>
              </w:rPr>
              <w:t>X</w:t>
            </w:r>
          </w:p>
        </w:tc>
        <w:tc>
          <w:tcPr>
            <w:tcW w:type="pct" w:w="335"/>
            <w:vAlign w:val="center"/>
          </w:tcPr>
          <w:p>
            <w:pPr>
              <w:spacing w:after="0"/>
              <w:jc w:val="center"/>
            </w:pPr>
            <w:r>
              <w:rPr>
                <w:rFonts w:ascii="Times New Roman" w:hAnsi="Times New Roman" w:cs="Times New Roman" w:eastAsia="Times New Roman"/>
                <w:sz w:val="14"/>
                <w:b w:val="off"/>
                <w:i w:val="off"/>
                <w:strike w:val="off"/>
              </w:rPr>
              <w:t>X</w:t>
            </w:r>
          </w:p>
        </w:tc>
        <w:tc>
          <w:tcPr>
            <w:tcW w:type="pct" w:w="335"/>
            <w:vAlign w:val="center"/>
          </w:tcPr>
          <w:p>
            <w:pPr>
              <w:spacing w:after="0"/>
              <w:jc w:val="center"/>
            </w:pPr>
            <w:r>
              <w:rPr>
                <w:rFonts w:ascii="Times New Roman" w:hAnsi="Times New Roman" w:cs="Times New Roman" w:eastAsia="Times New Roman"/>
                <w:sz w:val="14"/>
                <w:b w:val="off"/>
                <w:i w:val="off"/>
                <w:strike w:val="off"/>
              </w:rPr>
              <w:t>X</w:t>
            </w:r>
          </w:p>
        </w:tc>
      </w:tr>
      <w:tr>
        <w:trPr>
          <w:cantSplit w:val="on"/>
        </w:trPr>
        <w:tc>
          <w:tcPr>
            <w:tcW w:type="pct" w:w="105"/>
            <w:hMerge w:val="restart"/>
            <w:vAlign w:val="center"/>
          </w:tcPr>
          <w:p>
            <w:pPr>
              <w:spacing w:after="0"/>
              <w:jc w:val="right"/>
            </w:pPr>
            <w:r>
              <w:rPr>
                <w:rFonts w:ascii="Times New Roman" w:hAnsi="Times New Roman" w:cs="Times New Roman" w:eastAsia="Times New Roman"/>
                <w:sz w:val="14"/>
                <w:b w:val="off"/>
                <w:i w:val="off"/>
                <w:strike w:val="off"/>
              </w:rPr>
              <w:t>в том числе по коду бюджетной классификации</w:t>
            </w:r>
            <w:r>
              <w:br/>
            </w:r>
            <w:r>
              <w:rPr>
                <w:rFonts w:ascii="Times New Roman" w:hAnsi="Times New Roman" w:cs="Times New Roman" w:eastAsia="Times New Roman"/>
                <w:sz w:val="14"/>
                <w:b w:val="off"/>
                <w:i w:val="off"/>
                <w:strike w:val="off"/>
              </w:rPr>
              <w:t>87801079100000090242</w:t>
            </w:r>
          </w:p>
        </w:tc>
        <w:tc>
          <w:tcPr>
            <w:tcW w:type="pct" w:w="400"/>
            <w:hMerge w:val="continue"/>
          </w:tcPr>
          <w:p/>
        </w:tc>
        <w:tc>
          <w:tcPr>
            <w:tcW w:type="pct" w:w="330"/>
            <w:hMerge w:val="continue"/>
          </w:tcPr>
          <w:p/>
        </w:tc>
        <w:tc>
          <w:tcPr>
            <w:tcW w:type="pct" w:w="445"/>
            <w:hMerge w:val="continue"/>
          </w:tcPr>
          <w:p/>
        </w:tc>
        <w:tc>
          <w:tcPr>
            <w:tcW w:type="pct" w:w="300"/>
            <w:hMerge w:val="continue"/>
          </w:tcPr>
          <w:p/>
        </w:tc>
        <w:tc>
          <w:tcPr>
            <w:tcW w:type="pct" w:w="225"/>
            <w:hMerge w:val="continue"/>
          </w:tcPr>
          <w:p/>
        </w:tc>
        <w:tc>
          <w:tcPr>
            <w:tcW w:type="pct" w:w="475"/>
            <w:vAlign w:val="center"/>
          </w:tcPr>
          <w:p>
            <w:pPr>
              <w:spacing w:after="0"/>
              <w:jc w:val="center"/>
            </w:pPr>
            <w:r>
              <w:rPr>
                <w:rFonts w:ascii="Times New Roman" w:hAnsi="Times New Roman" w:cs="Times New Roman" w:eastAsia="Times New Roman"/>
                <w:sz w:val="14"/>
                <w:b w:val="off"/>
                <w:i w:val="off"/>
                <w:strike w:val="off"/>
              </w:rPr>
              <w:t>115 288,00</w:t>
            </w:r>
          </w:p>
        </w:tc>
        <w:tc>
          <w:tcPr>
            <w:tcW w:type="pct" w:w="475"/>
            <w:vAlign w:val="center"/>
          </w:tcPr>
          <w:p>
            <w:pPr>
              <w:spacing w:after="0"/>
              <w:jc w:val="center"/>
            </w:pPr>
            <w:r>
              <w:rPr>
                <w:rFonts w:ascii="Times New Roman" w:hAnsi="Times New Roman" w:cs="Times New Roman" w:eastAsia="Times New Roman"/>
                <w:sz w:val="14"/>
                <w:b w:val="off"/>
                <w:i w:val="off"/>
                <w:strike w:val="off"/>
              </w:rPr>
              <w:t>26 900,00</w:t>
            </w:r>
          </w:p>
        </w:tc>
        <w:tc>
          <w:tcPr>
            <w:tcW w:type="pct" w:w="475"/>
            <w:vAlign w:val="center"/>
          </w:tcPr>
          <w:p>
            <w:pPr>
              <w:spacing w:after="0"/>
              <w:jc w:val="center"/>
            </w:pPr>
            <w:r>
              <w:rPr>
                <w:rFonts w:ascii="Times New Roman" w:hAnsi="Times New Roman" w:cs="Times New Roman" w:eastAsia="Times New Roman"/>
                <w:sz w:val="14"/>
                <w:b w:val="off"/>
                <w:i w:val="off"/>
                <w:strike w:val="off"/>
              </w:rPr>
              <w:t>42 900,00</w:t>
            </w:r>
          </w:p>
        </w:tc>
        <w:tc>
          <w:tcPr>
            <w:tcW w:type="pct" w:w="475"/>
            <w:vAlign w:val="center"/>
          </w:tcPr>
          <w:p>
            <w:pPr>
              <w:spacing w:after="0"/>
              <w:jc w:val="center"/>
            </w:pPr>
            <w:r>
              <w:rPr>
                <w:rFonts w:ascii="Times New Roman" w:hAnsi="Times New Roman" w:cs="Times New Roman" w:eastAsia="Times New Roman"/>
                <w:sz w:val="14"/>
                <w:b w:val="off"/>
                <w:i w:val="off"/>
                <w:strike w:val="off"/>
              </w:rPr>
              <w:t>45 488,00</w:t>
            </w:r>
          </w:p>
        </w:tc>
        <w:tc>
          <w:tcPr>
            <w:tcW w:type="pct" w:w="475"/>
            <w:vAlign w:val="center"/>
          </w:tcPr>
          <w:p>
            <w:pPr>
              <w:spacing w:after="0"/>
              <w:jc w:val="center"/>
            </w:pPr>
            <w:r>
              <w:rPr>
                <w:rFonts w:ascii="Times New Roman" w:hAnsi="Times New Roman" w:cs="Times New Roman" w:eastAsia="Times New Roman"/>
                <w:sz w:val="14"/>
                <w:b w:val="off"/>
                <w:i w:val="off"/>
                <w:strike w:val="off"/>
              </w:rPr>
              <w:t>0,00</w:t>
            </w:r>
          </w:p>
        </w:tc>
        <w:tc>
          <w:tcPr>
            <w:tcW w:type="pct" w:w="200"/>
            <w:vAlign w:val="center"/>
          </w:tcPr>
          <w:p>
            <w:pPr>
              <w:spacing w:after="0"/>
              <w:jc w:val="center"/>
            </w:pPr>
            <w:r>
              <w:rPr>
                <w:rFonts w:ascii="Times New Roman" w:hAnsi="Times New Roman" w:cs="Times New Roman" w:eastAsia="Times New Roman"/>
                <w:sz w:val="14"/>
                <w:b w:val="off"/>
                <w:i w:val="off"/>
                <w:strike w:val="off"/>
              </w:rPr>
              <w:t>X</w:t>
            </w:r>
          </w:p>
        </w:tc>
        <w:tc>
          <w:tcPr>
            <w:tcW w:type="pct" w:w="335"/>
            <w:vAlign w:val="center"/>
          </w:tcPr>
          <w:p>
            <w:pPr>
              <w:spacing w:after="0"/>
              <w:jc w:val="center"/>
            </w:pPr>
            <w:r>
              <w:rPr>
                <w:rFonts w:ascii="Times New Roman" w:hAnsi="Times New Roman" w:cs="Times New Roman" w:eastAsia="Times New Roman"/>
                <w:sz w:val="14"/>
                <w:b w:val="off"/>
                <w:i w:val="off"/>
                <w:strike w:val="off"/>
              </w:rPr>
              <w:t>X</w:t>
            </w:r>
          </w:p>
        </w:tc>
        <w:tc>
          <w:tcPr>
            <w:tcW w:type="pct" w:w="335"/>
            <w:vAlign w:val="center"/>
          </w:tcPr>
          <w:p>
            <w:pPr>
              <w:spacing w:after="0"/>
              <w:jc w:val="center"/>
            </w:pPr>
            <w:r>
              <w:rPr>
                <w:rFonts w:ascii="Times New Roman" w:hAnsi="Times New Roman" w:cs="Times New Roman" w:eastAsia="Times New Roman"/>
                <w:sz w:val="14"/>
                <w:b w:val="off"/>
                <w:i w:val="off"/>
                <w:strike w:val="off"/>
              </w:rPr>
              <w:t>X</w:t>
            </w:r>
          </w:p>
        </w:tc>
      </w:tr>
      <w:tr>
        <w:trPr>
          <w:cantSplit w:val="on"/>
        </w:trPr>
        <w:tc>
          <w:tcPr>
            <w:tcW w:type="pct" w:w="105"/>
            <w:hMerge w:val="restart"/>
            <w:vAlign w:val="center"/>
          </w:tcPr>
          <w:p>
            <w:pPr>
              <w:spacing w:after="0"/>
              <w:jc w:val="right"/>
            </w:pPr>
            <w:r>
              <w:rPr>
                <w:rFonts w:ascii="Times New Roman" w:hAnsi="Times New Roman" w:cs="Times New Roman" w:eastAsia="Times New Roman"/>
                <w:sz w:val="14"/>
                <w:b w:val="off"/>
                <w:i w:val="off"/>
                <w:strike w:val="off"/>
              </w:rPr>
              <w:t>в том числе по коду бюджетной классификации</w:t>
            </w:r>
            <w:r>
              <w:br/>
            </w:r>
            <w:r>
              <w:rPr>
                <w:rFonts w:ascii="Times New Roman" w:hAnsi="Times New Roman" w:cs="Times New Roman" w:eastAsia="Times New Roman"/>
                <w:sz w:val="14"/>
                <w:b w:val="off"/>
                <w:i w:val="off"/>
                <w:strike w:val="off"/>
              </w:rPr>
              <w:t>87801079100000090244</w:t>
            </w:r>
          </w:p>
        </w:tc>
        <w:tc>
          <w:tcPr>
            <w:tcW w:type="pct" w:w="400"/>
            <w:hMerge w:val="continue"/>
          </w:tcPr>
          <w:p/>
        </w:tc>
        <w:tc>
          <w:tcPr>
            <w:tcW w:type="pct" w:w="330"/>
            <w:hMerge w:val="continue"/>
          </w:tcPr>
          <w:p/>
        </w:tc>
        <w:tc>
          <w:tcPr>
            <w:tcW w:type="pct" w:w="445"/>
            <w:hMerge w:val="continue"/>
          </w:tcPr>
          <w:p/>
        </w:tc>
        <w:tc>
          <w:tcPr>
            <w:tcW w:type="pct" w:w="300"/>
            <w:hMerge w:val="continue"/>
          </w:tcPr>
          <w:p/>
        </w:tc>
        <w:tc>
          <w:tcPr>
            <w:tcW w:type="pct" w:w="225"/>
            <w:hMerge w:val="continue"/>
          </w:tcPr>
          <w:p/>
        </w:tc>
        <w:tc>
          <w:tcPr>
            <w:tcW w:type="pct" w:w="475"/>
            <w:vAlign w:val="center"/>
          </w:tcPr>
          <w:p>
            <w:pPr>
              <w:spacing w:after="0"/>
              <w:jc w:val="center"/>
            </w:pPr>
            <w:r>
              <w:rPr>
                <w:rFonts w:ascii="Times New Roman" w:hAnsi="Times New Roman" w:cs="Times New Roman" w:eastAsia="Times New Roman"/>
                <w:sz w:val="14"/>
                <w:b w:val="off"/>
                <w:i w:val="off"/>
                <w:strike w:val="off"/>
              </w:rPr>
              <w:t>364 090,00</w:t>
            </w:r>
          </w:p>
        </w:tc>
        <w:tc>
          <w:tcPr>
            <w:tcW w:type="pct" w:w="475"/>
            <w:vAlign w:val="center"/>
          </w:tcPr>
          <w:p>
            <w:pPr>
              <w:spacing w:after="0"/>
              <w:jc w:val="center"/>
            </w:pPr>
            <w:r>
              <w:rPr>
                <w:rFonts w:ascii="Times New Roman" w:hAnsi="Times New Roman" w:cs="Times New Roman" w:eastAsia="Times New Roman"/>
                <w:sz w:val="14"/>
                <w:b w:val="off"/>
                <w:i w:val="off"/>
                <w:strike w:val="off"/>
              </w:rPr>
              <w:t>113 222,00</w:t>
            </w:r>
          </w:p>
        </w:tc>
        <w:tc>
          <w:tcPr>
            <w:tcW w:type="pct" w:w="475"/>
            <w:vAlign w:val="center"/>
          </w:tcPr>
          <w:p>
            <w:pPr>
              <w:spacing w:after="0"/>
              <w:jc w:val="center"/>
            </w:pPr>
            <w:r>
              <w:rPr>
                <w:rFonts w:ascii="Times New Roman" w:hAnsi="Times New Roman" w:cs="Times New Roman" w:eastAsia="Times New Roman"/>
                <w:sz w:val="14"/>
                <w:b w:val="off"/>
                <w:i w:val="off"/>
                <w:strike w:val="off"/>
              </w:rPr>
              <w:t>125 434,00</w:t>
            </w:r>
          </w:p>
        </w:tc>
        <w:tc>
          <w:tcPr>
            <w:tcW w:type="pct" w:w="475"/>
            <w:vAlign w:val="center"/>
          </w:tcPr>
          <w:p>
            <w:pPr>
              <w:spacing w:after="0"/>
              <w:jc w:val="center"/>
            </w:pPr>
            <w:r>
              <w:rPr>
                <w:rFonts w:ascii="Times New Roman" w:hAnsi="Times New Roman" w:cs="Times New Roman" w:eastAsia="Times New Roman"/>
                <w:sz w:val="14"/>
                <w:b w:val="off"/>
                <w:i w:val="off"/>
                <w:strike w:val="off"/>
              </w:rPr>
              <w:t>125 434,00</w:t>
            </w:r>
          </w:p>
        </w:tc>
        <w:tc>
          <w:tcPr>
            <w:tcW w:type="pct" w:w="475"/>
            <w:vAlign w:val="center"/>
          </w:tcPr>
          <w:p>
            <w:pPr>
              <w:spacing w:after="0"/>
              <w:jc w:val="center"/>
            </w:pPr>
            <w:r>
              <w:rPr>
                <w:rFonts w:ascii="Times New Roman" w:hAnsi="Times New Roman" w:cs="Times New Roman" w:eastAsia="Times New Roman"/>
                <w:sz w:val="14"/>
                <w:b w:val="off"/>
                <w:i w:val="off"/>
                <w:strike w:val="off"/>
              </w:rPr>
              <w:t>0,00</w:t>
            </w:r>
          </w:p>
        </w:tc>
        <w:tc>
          <w:tcPr>
            <w:tcW w:type="pct" w:w="200"/>
            <w:vAlign w:val="center"/>
          </w:tcPr>
          <w:p>
            <w:pPr>
              <w:spacing w:after="0"/>
              <w:jc w:val="center"/>
            </w:pPr>
            <w:r>
              <w:rPr>
                <w:rFonts w:ascii="Times New Roman" w:hAnsi="Times New Roman" w:cs="Times New Roman" w:eastAsia="Times New Roman"/>
                <w:sz w:val="14"/>
                <w:b w:val="off"/>
                <w:i w:val="off"/>
                <w:strike w:val="off"/>
              </w:rPr>
              <w:t>X</w:t>
            </w:r>
          </w:p>
        </w:tc>
        <w:tc>
          <w:tcPr>
            <w:tcW w:type="pct" w:w="335"/>
            <w:vAlign w:val="center"/>
          </w:tcPr>
          <w:p>
            <w:pPr>
              <w:spacing w:after="0"/>
              <w:jc w:val="center"/>
            </w:pPr>
            <w:r>
              <w:rPr>
                <w:rFonts w:ascii="Times New Roman" w:hAnsi="Times New Roman" w:cs="Times New Roman" w:eastAsia="Times New Roman"/>
                <w:sz w:val="14"/>
                <w:b w:val="off"/>
                <w:i w:val="off"/>
                <w:strike w:val="off"/>
              </w:rPr>
              <w:t>X</w:t>
            </w:r>
          </w:p>
        </w:tc>
        <w:tc>
          <w:tcPr>
            <w:tcW w:type="pct" w:w="335"/>
            <w:vAlign w:val="center"/>
          </w:tcPr>
          <w:p>
            <w:pPr>
              <w:spacing w:after="0"/>
              <w:jc w:val="center"/>
            </w:pPr>
            <w:r>
              <w:rPr>
                <w:rFonts w:ascii="Times New Roman" w:hAnsi="Times New Roman" w:cs="Times New Roman" w:eastAsia="Times New Roman"/>
                <w:sz w:val="14"/>
                <w:b w:val="off"/>
                <w:i w:val="off"/>
                <w:strike w:val="off"/>
              </w:rPr>
              <w:t>X</w:t>
            </w:r>
          </w:p>
        </w:tc>
      </w:tr>
    </w:tbl>
    <w:sectPr>
      <w:pgMar w:top="570" w:bottom="570" w:left="570" w:right="570"/>
    </w:sectPr>
    <w:sectPr>
      <w:pgSz w:orient="landscape" w:w="16840" w:h="11900"/>
    </w:sectPr>
  </w:body>
</w:document>
</file>

<file path=word/settings.xml><?xml version="1.0" encoding="utf-8"?>
<w:settings xmlns:w="http://schemas.openxmlformats.org/wordprocessingml/2006/main"/>
</file>

<file path=word/_rels/document.xml.rels><?xml version="1.0" encoding="UTF-8" standalone="yes"?><Relationships xmlns="http://schemas.openxmlformats.org/package/2006/relationships"><Relationship Id="rId1" Target="settings.xml" Type="http://schemas.openxmlformats.org/officeDocument/2006/relationships/settings"/></Relationships>
</file>

<file path=docProps/app.xml><?xml version="1.0" encoding="utf-8"?>
<Properties xmlns="http://schemas.openxmlformats.org/officeDocument/2006/extended-properties">
  <Application>Apache POI</Applicat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xsi="http://www.w3.org/2001/XMLSchema-instance">
  <dcterms:created xsi:type="dcterms:W3CDTF">2025-12-24T07:59:40Z</dcterms:created>
  <dc:creator>Apache POI</dc:creator>
</cp:coreProperties>
</file>